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>2023年第2批次卫生专业技术人才招聘计划</w:t>
      </w:r>
    </w:p>
    <w:bookmarkEnd w:id="0"/>
    <w:p>
      <w:pPr>
        <w:rPr>
          <w:rFonts w:hint="eastAsia"/>
        </w:rPr>
      </w:pPr>
      <w:r>
        <w:rPr>
          <w:rFonts w:hint="eastAsia"/>
        </w:rPr>
        <w:t>　　</w:t>
      </w:r>
    </w:p>
    <w:tbl>
      <w:tblPr>
        <w:tblW w:w="5000" w:type="pct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430"/>
        <w:gridCol w:w="275"/>
        <w:gridCol w:w="2320"/>
        <w:gridCol w:w="1690"/>
        <w:gridCol w:w="211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需求科室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需求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专业要求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学历要求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神经内科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临床医学内科或神经内科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神经内科规培证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介入血管外科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临床医学或医学影像学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创面修复与整形烧伤科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外科学或整形烧伤外科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硕士研究生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创伤外科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临床医学或创伤外科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肾病内科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临床医学或肾病内科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病理学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硕士研究生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超声影像科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临床医学或医学影像学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硕士研究生及以上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放射影像科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医学影像学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胸外科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外科学或胸外科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硕士研究生及以上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心血管内科Ⅱ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临床医学或心血管内科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0" w:type="auto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具有执业医师资格证和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规培证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76C8E"/>
    <w:rsid w:val="5EF5665A"/>
    <w:rsid w:val="64E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574</Characters>
  <Lines>0</Lines>
  <Paragraphs>0</Paragraphs>
  <TotalTime>72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2023-06-15T00:33:00Z</dcterms:created>
  <dc:creator>Administrator</dc:creator>
  <cp:lastModifiedBy>Administrator</cp:lastModifiedBy>
  <dcterms:modified xsi:type="dcterms:W3CDTF">2023-06-15T01:47:03Z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A236977988FA41F8BD117FF78D1CA764_13</vt:lpwstr>
  </property>
</Properties>
</file>