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CF5A1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70" w:beforeAutospacing="0" w:after="0" w:afterAutospacing="0"/>
        <w:ind w:left="0" w:right="0" w:firstLine="420"/>
        <w:jc w:val="left"/>
        <w:rPr>
          <w:rFonts w:ascii="none" w:hAnsi="none" w:eastAsia="none" w:cs="none"/>
          <w:i w:val="0"/>
          <w:iCs w:val="0"/>
          <w:caps w:val="0"/>
          <w:color w:val="333333"/>
          <w:spacing w:val="0"/>
          <w:sz w:val="24"/>
          <w:szCs w:val="24"/>
        </w:rPr>
      </w:pPr>
      <w:r>
        <w:rPr>
          <w:rFonts w:hint="default" w:ascii="none" w:hAnsi="none" w:eastAsia="none" w:cs="none"/>
          <w:i w:val="0"/>
          <w:iCs w:val="0"/>
          <w:caps w:val="0"/>
          <w:color w:val="333333"/>
          <w:spacing w:val="0"/>
          <w:sz w:val="24"/>
          <w:szCs w:val="24"/>
          <w:bdr w:val="none" w:color="auto" w:sz="0" w:space="0"/>
          <w:shd w:val="clear" w:fill="FFFFFF"/>
        </w:rPr>
        <w:t>附件1</w:t>
      </w:r>
    </w:p>
    <w:p w14:paraId="0EBF002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70" w:beforeAutospacing="0" w:after="0" w:afterAutospacing="0"/>
        <w:ind w:left="0" w:right="0" w:firstLine="420"/>
        <w:jc w:val="center"/>
        <w:rPr>
          <w:rFonts w:hint="default" w:ascii="none" w:hAnsi="none" w:eastAsia="none" w:cs="none"/>
          <w:i w:val="0"/>
          <w:iCs w:val="0"/>
          <w:caps w:val="0"/>
          <w:color w:val="333333"/>
          <w:spacing w:val="0"/>
          <w:sz w:val="24"/>
          <w:szCs w:val="24"/>
        </w:rPr>
      </w:pPr>
      <w:bookmarkStart w:id="0" w:name="_GoBack"/>
      <w:r>
        <w:rPr>
          <w:rStyle w:val="5"/>
          <w:rFonts w:ascii="微软雅黑" w:hAnsi="微软雅黑" w:eastAsia="微软雅黑" w:cs="微软雅黑"/>
          <w:i w:val="0"/>
          <w:iCs w:val="0"/>
          <w:caps w:val="0"/>
          <w:color w:val="333333"/>
          <w:spacing w:val="0"/>
          <w:sz w:val="24"/>
          <w:szCs w:val="24"/>
          <w:bdr w:val="none" w:color="auto" w:sz="0" w:space="0"/>
          <w:shd w:val="clear" w:fill="FFFFFF"/>
        </w:rPr>
        <w:t>罗源县2026年优秀教育人才第二轮公开招聘岗位信息表（编内）</w:t>
      </w:r>
    </w:p>
    <w:bookmarkEnd w:id="0"/>
    <w:p w14:paraId="06DBB9D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70" w:beforeAutospacing="0" w:after="0" w:afterAutospacing="0"/>
        <w:ind w:left="0" w:right="0" w:firstLine="420"/>
        <w:jc w:val="center"/>
        <w:rPr>
          <w:rFonts w:hint="default" w:ascii="none" w:hAnsi="none" w:eastAsia="none" w:cs="none"/>
          <w:i w:val="0"/>
          <w:iCs w:val="0"/>
          <w:caps w:val="0"/>
          <w:color w:val="333333"/>
          <w:spacing w:val="0"/>
          <w:sz w:val="24"/>
          <w:szCs w:val="24"/>
        </w:rPr>
      </w:pPr>
      <w:r>
        <w:rPr>
          <w:rFonts w:hint="default" w:ascii="none" w:hAnsi="none" w:eastAsia="none" w:cs="none"/>
          <w:i w:val="0"/>
          <w:iCs w:val="0"/>
          <w:caps w:val="0"/>
          <w:color w:val="333333"/>
          <w:spacing w:val="0"/>
          <w:sz w:val="24"/>
          <w:szCs w:val="24"/>
          <w:bdr w:val="none" w:color="auto" w:sz="0" w:space="0"/>
          <w:shd w:val="clear" w:fill="FFFFFF"/>
        </w:rPr>
        <w:t> </w:t>
      </w:r>
    </w:p>
    <w:tbl>
      <w:tblPr>
        <w:tblW w:w="18540" w:type="dxa"/>
        <w:tblCellSpacing w:w="0" w:type="dxa"/>
        <w:tblInd w:w="15" w:type="dxa"/>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Layout w:type="autofit"/>
        <w:tblCellMar>
          <w:top w:w="0" w:type="dxa"/>
          <w:left w:w="0" w:type="dxa"/>
          <w:bottom w:w="0" w:type="dxa"/>
          <w:right w:w="0" w:type="dxa"/>
        </w:tblCellMar>
      </w:tblPr>
      <w:tblGrid>
        <w:gridCol w:w="1158"/>
        <w:gridCol w:w="2124"/>
        <w:gridCol w:w="2704"/>
        <w:gridCol w:w="1159"/>
        <w:gridCol w:w="1738"/>
        <w:gridCol w:w="1738"/>
        <w:gridCol w:w="2318"/>
        <w:gridCol w:w="3090"/>
        <w:gridCol w:w="2511"/>
      </w:tblGrid>
      <w:tr w14:paraId="6947436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CellMar>
            <w:top w:w="0" w:type="dxa"/>
            <w:left w:w="0" w:type="dxa"/>
            <w:bottom w:w="0" w:type="dxa"/>
            <w:right w:w="0" w:type="dxa"/>
          </w:tblCellMar>
        </w:tblPrEx>
        <w:trPr>
          <w:tblHeader/>
          <w:tblCellSpacing w:w="0" w:type="dxa"/>
        </w:trPr>
        <w:tc>
          <w:tcPr>
            <w:tcW w:w="300" w:type="pct"/>
            <w:shd w:val="clear"/>
            <w:vAlign w:val="center"/>
          </w:tcPr>
          <w:p w14:paraId="7B67C3D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岗位号</w:t>
            </w:r>
          </w:p>
        </w:tc>
        <w:tc>
          <w:tcPr>
            <w:tcW w:w="550" w:type="pct"/>
            <w:shd w:val="clear"/>
            <w:vAlign w:val="center"/>
          </w:tcPr>
          <w:p w14:paraId="07B0E7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岗位名称</w:t>
            </w:r>
          </w:p>
        </w:tc>
        <w:tc>
          <w:tcPr>
            <w:tcW w:w="700" w:type="pct"/>
            <w:shd w:val="clear"/>
            <w:vAlign w:val="center"/>
          </w:tcPr>
          <w:p w14:paraId="2CBF5FA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招聘单位</w:t>
            </w:r>
          </w:p>
        </w:tc>
        <w:tc>
          <w:tcPr>
            <w:tcW w:w="300" w:type="pct"/>
            <w:shd w:val="clear"/>
            <w:vAlign w:val="center"/>
          </w:tcPr>
          <w:p w14:paraId="3A55BA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岗位招聘人数</w:t>
            </w:r>
          </w:p>
        </w:tc>
        <w:tc>
          <w:tcPr>
            <w:tcW w:w="450" w:type="pct"/>
            <w:shd w:val="clear"/>
            <w:vAlign w:val="center"/>
          </w:tcPr>
          <w:p w14:paraId="09D434B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学历要求</w:t>
            </w:r>
          </w:p>
        </w:tc>
        <w:tc>
          <w:tcPr>
            <w:tcW w:w="450" w:type="pct"/>
            <w:shd w:val="clear"/>
            <w:vAlign w:val="center"/>
          </w:tcPr>
          <w:p w14:paraId="788E2A2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学位要求</w:t>
            </w:r>
          </w:p>
        </w:tc>
        <w:tc>
          <w:tcPr>
            <w:tcW w:w="600" w:type="pct"/>
            <w:shd w:val="clear"/>
            <w:vAlign w:val="center"/>
          </w:tcPr>
          <w:p w14:paraId="658C8B2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专业要求</w:t>
            </w:r>
          </w:p>
        </w:tc>
        <w:tc>
          <w:tcPr>
            <w:tcW w:w="800" w:type="pct"/>
            <w:shd w:val="clear"/>
            <w:vAlign w:val="center"/>
          </w:tcPr>
          <w:p w14:paraId="73B6AAB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教师资格证要求</w:t>
            </w:r>
          </w:p>
        </w:tc>
        <w:tc>
          <w:tcPr>
            <w:tcW w:w="650" w:type="pct"/>
            <w:shd w:val="clear"/>
            <w:vAlign w:val="center"/>
          </w:tcPr>
          <w:p w14:paraId="66E717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资历及年龄要求</w:t>
            </w:r>
          </w:p>
        </w:tc>
      </w:tr>
      <w:tr w14:paraId="42C4EA4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tblCellSpacing w:w="0" w:type="dxa"/>
        </w:trPr>
        <w:tc>
          <w:tcPr>
            <w:tcW w:w="300" w:type="pct"/>
            <w:shd w:val="clear"/>
            <w:vAlign w:val="center"/>
          </w:tcPr>
          <w:p w14:paraId="3697F57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1</w:t>
            </w:r>
          </w:p>
        </w:tc>
        <w:tc>
          <w:tcPr>
            <w:tcW w:w="550" w:type="pct"/>
            <w:shd w:val="clear"/>
            <w:vAlign w:val="center"/>
          </w:tcPr>
          <w:p w14:paraId="539D855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高中语文教师</w:t>
            </w:r>
          </w:p>
        </w:tc>
        <w:tc>
          <w:tcPr>
            <w:tcW w:w="700" w:type="pct"/>
            <w:shd w:val="clear"/>
            <w:vAlign w:val="center"/>
          </w:tcPr>
          <w:p w14:paraId="1C728E1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left"/>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罗源高级职业中学</w:t>
            </w:r>
          </w:p>
        </w:tc>
        <w:tc>
          <w:tcPr>
            <w:tcW w:w="300" w:type="pct"/>
            <w:shd w:val="clear"/>
            <w:vAlign w:val="center"/>
          </w:tcPr>
          <w:p w14:paraId="5A90399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1</w:t>
            </w:r>
          </w:p>
        </w:tc>
        <w:tc>
          <w:tcPr>
            <w:tcW w:w="450" w:type="pct"/>
            <w:shd w:val="clear"/>
            <w:vAlign w:val="center"/>
          </w:tcPr>
          <w:p w14:paraId="0FDBFCC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硕士研究生及以上</w:t>
            </w:r>
          </w:p>
        </w:tc>
        <w:tc>
          <w:tcPr>
            <w:tcW w:w="450" w:type="pct"/>
            <w:shd w:val="clear"/>
            <w:vAlign w:val="center"/>
          </w:tcPr>
          <w:p w14:paraId="7D148B8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硕士及以上</w:t>
            </w:r>
          </w:p>
        </w:tc>
        <w:tc>
          <w:tcPr>
            <w:tcW w:w="600" w:type="pct"/>
            <w:shd w:val="clear"/>
            <w:vAlign w:val="center"/>
          </w:tcPr>
          <w:p w14:paraId="4AA3E1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left"/>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中国语言文学类，语文教育、学科教学（语文）。</w:t>
            </w:r>
          </w:p>
        </w:tc>
        <w:tc>
          <w:tcPr>
            <w:tcW w:w="800" w:type="pct"/>
            <w:vMerge w:val="restart"/>
            <w:shd w:val="clear"/>
            <w:vAlign w:val="center"/>
          </w:tcPr>
          <w:p w14:paraId="37587A4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left"/>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报考初中、高中岗位均须持有所报岗位学科高级中学教师资格证书；报考职业中学岗位须持有所报岗位学科高级中学教师资格证书或中等职业学校本学科教师资格证书。</w:t>
            </w:r>
          </w:p>
        </w:tc>
        <w:tc>
          <w:tcPr>
            <w:tcW w:w="650" w:type="pct"/>
            <w:vMerge w:val="restart"/>
            <w:shd w:val="clear"/>
            <w:vAlign w:val="center"/>
          </w:tcPr>
          <w:p w14:paraId="0F3D43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left"/>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须持有相应层次的学历、学位证书；年龄要求38周岁及以下。</w:t>
            </w:r>
          </w:p>
        </w:tc>
      </w:tr>
      <w:tr w14:paraId="4C7086C0">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tblCellSpacing w:w="0" w:type="dxa"/>
        </w:trPr>
        <w:tc>
          <w:tcPr>
            <w:tcW w:w="300" w:type="pct"/>
            <w:vMerge w:val="restart"/>
            <w:shd w:val="clear"/>
            <w:vAlign w:val="center"/>
          </w:tcPr>
          <w:p w14:paraId="1F4C7C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2</w:t>
            </w:r>
          </w:p>
        </w:tc>
        <w:tc>
          <w:tcPr>
            <w:tcW w:w="550" w:type="pct"/>
            <w:vMerge w:val="restart"/>
            <w:shd w:val="clear"/>
            <w:vAlign w:val="center"/>
          </w:tcPr>
          <w:p w14:paraId="409C636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高中数学教师</w:t>
            </w:r>
          </w:p>
        </w:tc>
        <w:tc>
          <w:tcPr>
            <w:tcW w:w="700" w:type="pct"/>
            <w:shd w:val="clear"/>
            <w:vAlign w:val="center"/>
          </w:tcPr>
          <w:p w14:paraId="3584FEF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left"/>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罗源第一中学</w:t>
            </w:r>
          </w:p>
        </w:tc>
        <w:tc>
          <w:tcPr>
            <w:tcW w:w="300" w:type="pct"/>
            <w:shd w:val="clear"/>
            <w:vAlign w:val="center"/>
          </w:tcPr>
          <w:p w14:paraId="14DBE6C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1</w:t>
            </w:r>
          </w:p>
        </w:tc>
        <w:tc>
          <w:tcPr>
            <w:tcW w:w="450" w:type="pct"/>
            <w:vMerge w:val="restart"/>
            <w:shd w:val="clear"/>
            <w:vAlign w:val="center"/>
          </w:tcPr>
          <w:p w14:paraId="633EB87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硕士研究生及以上</w:t>
            </w:r>
          </w:p>
        </w:tc>
        <w:tc>
          <w:tcPr>
            <w:tcW w:w="450" w:type="pct"/>
            <w:vMerge w:val="restart"/>
            <w:shd w:val="clear"/>
            <w:vAlign w:val="center"/>
          </w:tcPr>
          <w:p w14:paraId="5909C4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硕士及以上</w:t>
            </w:r>
          </w:p>
        </w:tc>
        <w:tc>
          <w:tcPr>
            <w:tcW w:w="600" w:type="pct"/>
            <w:vMerge w:val="restart"/>
            <w:shd w:val="clear"/>
            <w:vAlign w:val="center"/>
          </w:tcPr>
          <w:p w14:paraId="2947EF9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left"/>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数学类，统计学类，数学教育、学科教学（数学）。</w:t>
            </w:r>
          </w:p>
        </w:tc>
        <w:tc>
          <w:tcPr>
            <w:tcW w:w="800" w:type="pct"/>
            <w:vMerge w:val="continue"/>
            <w:shd w:val="clear"/>
            <w:vAlign w:val="center"/>
          </w:tcPr>
          <w:p w14:paraId="4F757CBE">
            <w:pPr>
              <w:rPr>
                <w:rFonts w:hint="default" w:ascii="none" w:hAnsi="none" w:eastAsia="none" w:cs="none"/>
                <w:i w:val="0"/>
                <w:iCs w:val="0"/>
                <w:sz w:val="24"/>
                <w:szCs w:val="24"/>
              </w:rPr>
            </w:pPr>
          </w:p>
        </w:tc>
        <w:tc>
          <w:tcPr>
            <w:tcW w:w="650" w:type="pct"/>
            <w:vMerge w:val="continue"/>
            <w:shd w:val="clear"/>
            <w:vAlign w:val="center"/>
          </w:tcPr>
          <w:p w14:paraId="7A54F659">
            <w:pPr>
              <w:rPr>
                <w:rFonts w:hint="default" w:ascii="none" w:hAnsi="none" w:eastAsia="none" w:cs="none"/>
                <w:i w:val="0"/>
                <w:iCs w:val="0"/>
                <w:sz w:val="24"/>
                <w:szCs w:val="24"/>
              </w:rPr>
            </w:pPr>
          </w:p>
        </w:tc>
      </w:tr>
      <w:tr w14:paraId="4C412CE4">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tblCellSpacing w:w="0" w:type="dxa"/>
        </w:trPr>
        <w:tc>
          <w:tcPr>
            <w:tcW w:w="300" w:type="pct"/>
            <w:vMerge w:val="continue"/>
            <w:shd w:val="clear"/>
            <w:vAlign w:val="center"/>
          </w:tcPr>
          <w:p w14:paraId="64CEA75E">
            <w:pPr>
              <w:rPr>
                <w:rFonts w:hint="default" w:ascii="none" w:hAnsi="none" w:eastAsia="none" w:cs="none"/>
                <w:i w:val="0"/>
                <w:iCs w:val="0"/>
                <w:sz w:val="24"/>
                <w:szCs w:val="24"/>
              </w:rPr>
            </w:pPr>
          </w:p>
        </w:tc>
        <w:tc>
          <w:tcPr>
            <w:tcW w:w="550" w:type="pct"/>
            <w:vMerge w:val="continue"/>
            <w:shd w:val="clear"/>
            <w:vAlign w:val="center"/>
          </w:tcPr>
          <w:p w14:paraId="525D5CCD">
            <w:pPr>
              <w:rPr>
                <w:rFonts w:hint="default" w:ascii="none" w:hAnsi="none" w:eastAsia="none" w:cs="none"/>
                <w:i w:val="0"/>
                <w:iCs w:val="0"/>
                <w:sz w:val="24"/>
                <w:szCs w:val="24"/>
              </w:rPr>
            </w:pPr>
          </w:p>
        </w:tc>
        <w:tc>
          <w:tcPr>
            <w:tcW w:w="700" w:type="pct"/>
            <w:shd w:val="clear"/>
            <w:vAlign w:val="center"/>
          </w:tcPr>
          <w:p w14:paraId="77F97C8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left"/>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罗源高级职业中学</w:t>
            </w:r>
          </w:p>
        </w:tc>
        <w:tc>
          <w:tcPr>
            <w:tcW w:w="300" w:type="pct"/>
            <w:shd w:val="clear"/>
            <w:vAlign w:val="center"/>
          </w:tcPr>
          <w:p w14:paraId="271B34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1</w:t>
            </w:r>
          </w:p>
        </w:tc>
        <w:tc>
          <w:tcPr>
            <w:tcW w:w="450" w:type="pct"/>
            <w:vMerge w:val="continue"/>
            <w:shd w:val="clear"/>
            <w:vAlign w:val="center"/>
          </w:tcPr>
          <w:p w14:paraId="7D24316E">
            <w:pPr>
              <w:rPr>
                <w:rFonts w:hint="default" w:ascii="none" w:hAnsi="none" w:eastAsia="none" w:cs="none"/>
                <w:i w:val="0"/>
                <w:iCs w:val="0"/>
                <w:sz w:val="24"/>
                <w:szCs w:val="24"/>
              </w:rPr>
            </w:pPr>
          </w:p>
        </w:tc>
        <w:tc>
          <w:tcPr>
            <w:tcW w:w="450" w:type="pct"/>
            <w:vMerge w:val="continue"/>
            <w:shd w:val="clear"/>
            <w:vAlign w:val="center"/>
          </w:tcPr>
          <w:p w14:paraId="3B0EF6DB">
            <w:pPr>
              <w:rPr>
                <w:rFonts w:hint="default" w:ascii="none" w:hAnsi="none" w:eastAsia="none" w:cs="none"/>
                <w:i w:val="0"/>
                <w:iCs w:val="0"/>
                <w:sz w:val="24"/>
                <w:szCs w:val="24"/>
              </w:rPr>
            </w:pPr>
          </w:p>
        </w:tc>
        <w:tc>
          <w:tcPr>
            <w:tcW w:w="600" w:type="pct"/>
            <w:vMerge w:val="continue"/>
            <w:shd w:val="clear"/>
            <w:vAlign w:val="center"/>
          </w:tcPr>
          <w:p w14:paraId="3651BFA3">
            <w:pPr>
              <w:rPr>
                <w:rFonts w:hint="default" w:ascii="none" w:hAnsi="none" w:eastAsia="none" w:cs="none"/>
                <w:i w:val="0"/>
                <w:iCs w:val="0"/>
                <w:sz w:val="24"/>
                <w:szCs w:val="24"/>
              </w:rPr>
            </w:pPr>
          </w:p>
        </w:tc>
        <w:tc>
          <w:tcPr>
            <w:tcW w:w="800" w:type="pct"/>
            <w:vMerge w:val="continue"/>
            <w:shd w:val="clear"/>
            <w:vAlign w:val="center"/>
          </w:tcPr>
          <w:p w14:paraId="1E5BAB4A">
            <w:pPr>
              <w:rPr>
                <w:rFonts w:hint="default" w:ascii="none" w:hAnsi="none" w:eastAsia="none" w:cs="none"/>
                <w:i w:val="0"/>
                <w:iCs w:val="0"/>
                <w:sz w:val="24"/>
                <w:szCs w:val="24"/>
              </w:rPr>
            </w:pPr>
          </w:p>
        </w:tc>
        <w:tc>
          <w:tcPr>
            <w:tcW w:w="650" w:type="pct"/>
            <w:vMerge w:val="continue"/>
            <w:shd w:val="clear"/>
            <w:vAlign w:val="center"/>
          </w:tcPr>
          <w:p w14:paraId="7F113067">
            <w:pPr>
              <w:rPr>
                <w:rFonts w:hint="default" w:ascii="none" w:hAnsi="none" w:eastAsia="none" w:cs="none"/>
                <w:i w:val="0"/>
                <w:iCs w:val="0"/>
                <w:sz w:val="24"/>
                <w:szCs w:val="24"/>
              </w:rPr>
            </w:pPr>
          </w:p>
        </w:tc>
      </w:tr>
      <w:tr w14:paraId="14F765C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tblCellSpacing w:w="0" w:type="dxa"/>
        </w:trPr>
        <w:tc>
          <w:tcPr>
            <w:tcW w:w="300" w:type="pct"/>
            <w:vMerge w:val="continue"/>
            <w:shd w:val="clear"/>
            <w:vAlign w:val="center"/>
          </w:tcPr>
          <w:p w14:paraId="4D085D18">
            <w:pPr>
              <w:rPr>
                <w:rFonts w:hint="default" w:ascii="none" w:hAnsi="none" w:eastAsia="none" w:cs="none"/>
                <w:i w:val="0"/>
                <w:iCs w:val="0"/>
                <w:sz w:val="24"/>
                <w:szCs w:val="24"/>
              </w:rPr>
            </w:pPr>
          </w:p>
        </w:tc>
        <w:tc>
          <w:tcPr>
            <w:tcW w:w="550" w:type="pct"/>
            <w:vMerge w:val="continue"/>
            <w:shd w:val="clear"/>
            <w:vAlign w:val="center"/>
          </w:tcPr>
          <w:p w14:paraId="6A74B20B">
            <w:pPr>
              <w:rPr>
                <w:rFonts w:hint="default" w:ascii="none" w:hAnsi="none" w:eastAsia="none" w:cs="none"/>
                <w:i w:val="0"/>
                <w:iCs w:val="0"/>
                <w:sz w:val="24"/>
                <w:szCs w:val="24"/>
              </w:rPr>
            </w:pPr>
          </w:p>
        </w:tc>
        <w:tc>
          <w:tcPr>
            <w:tcW w:w="700" w:type="pct"/>
            <w:shd w:val="clear"/>
            <w:vAlign w:val="center"/>
          </w:tcPr>
          <w:p w14:paraId="026ABF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left"/>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罗源高级职业中学</w:t>
            </w:r>
          </w:p>
        </w:tc>
        <w:tc>
          <w:tcPr>
            <w:tcW w:w="300" w:type="pct"/>
            <w:shd w:val="clear"/>
            <w:vAlign w:val="center"/>
          </w:tcPr>
          <w:p w14:paraId="61018F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3</w:t>
            </w:r>
          </w:p>
        </w:tc>
        <w:tc>
          <w:tcPr>
            <w:tcW w:w="450" w:type="pct"/>
            <w:shd w:val="clear"/>
            <w:vAlign w:val="center"/>
          </w:tcPr>
          <w:p w14:paraId="1EDB79A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本科及以上</w:t>
            </w:r>
          </w:p>
        </w:tc>
        <w:tc>
          <w:tcPr>
            <w:tcW w:w="450" w:type="pct"/>
            <w:shd w:val="clear"/>
            <w:vAlign w:val="center"/>
          </w:tcPr>
          <w:p w14:paraId="55F3C58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学士及以上</w:t>
            </w:r>
          </w:p>
        </w:tc>
        <w:tc>
          <w:tcPr>
            <w:tcW w:w="600" w:type="pct"/>
            <w:vMerge w:val="continue"/>
            <w:shd w:val="clear"/>
            <w:vAlign w:val="center"/>
          </w:tcPr>
          <w:p w14:paraId="6E1A2241">
            <w:pPr>
              <w:rPr>
                <w:rFonts w:hint="default" w:ascii="none" w:hAnsi="none" w:eastAsia="none" w:cs="none"/>
                <w:i w:val="0"/>
                <w:iCs w:val="0"/>
                <w:sz w:val="24"/>
                <w:szCs w:val="24"/>
              </w:rPr>
            </w:pPr>
          </w:p>
        </w:tc>
        <w:tc>
          <w:tcPr>
            <w:tcW w:w="800" w:type="pct"/>
            <w:vMerge w:val="continue"/>
            <w:shd w:val="clear"/>
            <w:vAlign w:val="center"/>
          </w:tcPr>
          <w:p w14:paraId="78B3E3A4">
            <w:pPr>
              <w:rPr>
                <w:rFonts w:hint="default" w:ascii="none" w:hAnsi="none" w:eastAsia="none" w:cs="none"/>
                <w:i w:val="0"/>
                <w:iCs w:val="0"/>
                <w:sz w:val="24"/>
                <w:szCs w:val="24"/>
              </w:rPr>
            </w:pPr>
          </w:p>
        </w:tc>
        <w:tc>
          <w:tcPr>
            <w:tcW w:w="650" w:type="pct"/>
            <w:vMerge w:val="continue"/>
            <w:shd w:val="clear"/>
            <w:vAlign w:val="center"/>
          </w:tcPr>
          <w:p w14:paraId="39652687">
            <w:pPr>
              <w:rPr>
                <w:rFonts w:hint="default" w:ascii="none" w:hAnsi="none" w:eastAsia="none" w:cs="none"/>
                <w:i w:val="0"/>
                <w:iCs w:val="0"/>
                <w:sz w:val="24"/>
                <w:szCs w:val="24"/>
              </w:rPr>
            </w:pPr>
          </w:p>
        </w:tc>
      </w:tr>
      <w:tr w14:paraId="5E4D522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tblCellSpacing w:w="0" w:type="dxa"/>
        </w:trPr>
        <w:tc>
          <w:tcPr>
            <w:tcW w:w="300" w:type="pct"/>
            <w:vMerge w:val="restart"/>
            <w:shd w:val="clear"/>
            <w:vAlign w:val="center"/>
          </w:tcPr>
          <w:p w14:paraId="72F0B38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3</w:t>
            </w:r>
          </w:p>
        </w:tc>
        <w:tc>
          <w:tcPr>
            <w:tcW w:w="550" w:type="pct"/>
            <w:vMerge w:val="restart"/>
            <w:shd w:val="clear"/>
            <w:vAlign w:val="center"/>
          </w:tcPr>
          <w:p w14:paraId="32563A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高中物理教师</w:t>
            </w:r>
          </w:p>
        </w:tc>
        <w:tc>
          <w:tcPr>
            <w:tcW w:w="700" w:type="pct"/>
            <w:shd w:val="clear"/>
            <w:vAlign w:val="center"/>
          </w:tcPr>
          <w:p w14:paraId="46BAE6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left"/>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福州民族中学</w:t>
            </w:r>
          </w:p>
        </w:tc>
        <w:tc>
          <w:tcPr>
            <w:tcW w:w="300" w:type="pct"/>
            <w:shd w:val="clear"/>
            <w:vAlign w:val="center"/>
          </w:tcPr>
          <w:p w14:paraId="17E3077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1</w:t>
            </w:r>
          </w:p>
        </w:tc>
        <w:tc>
          <w:tcPr>
            <w:tcW w:w="450" w:type="pct"/>
            <w:vMerge w:val="restart"/>
            <w:shd w:val="clear"/>
            <w:vAlign w:val="center"/>
          </w:tcPr>
          <w:p w14:paraId="7377B94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硕士研究生及以上</w:t>
            </w:r>
          </w:p>
        </w:tc>
        <w:tc>
          <w:tcPr>
            <w:tcW w:w="450" w:type="pct"/>
            <w:vMerge w:val="restart"/>
            <w:shd w:val="clear"/>
            <w:vAlign w:val="center"/>
          </w:tcPr>
          <w:p w14:paraId="7C051E2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硕士及以上</w:t>
            </w:r>
          </w:p>
        </w:tc>
        <w:tc>
          <w:tcPr>
            <w:tcW w:w="600" w:type="pct"/>
            <w:vMerge w:val="restart"/>
            <w:shd w:val="clear"/>
            <w:vAlign w:val="center"/>
          </w:tcPr>
          <w:p w14:paraId="7250A8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left"/>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物理学类，物理教育、学科教学（物理）。</w:t>
            </w:r>
          </w:p>
        </w:tc>
        <w:tc>
          <w:tcPr>
            <w:tcW w:w="800" w:type="pct"/>
            <w:vMerge w:val="continue"/>
            <w:shd w:val="clear"/>
            <w:vAlign w:val="center"/>
          </w:tcPr>
          <w:p w14:paraId="5701AF32">
            <w:pPr>
              <w:rPr>
                <w:rFonts w:hint="default" w:ascii="none" w:hAnsi="none" w:eastAsia="none" w:cs="none"/>
                <w:i w:val="0"/>
                <w:iCs w:val="0"/>
                <w:sz w:val="24"/>
                <w:szCs w:val="24"/>
              </w:rPr>
            </w:pPr>
          </w:p>
        </w:tc>
        <w:tc>
          <w:tcPr>
            <w:tcW w:w="650" w:type="pct"/>
            <w:vMerge w:val="continue"/>
            <w:shd w:val="clear"/>
            <w:vAlign w:val="center"/>
          </w:tcPr>
          <w:p w14:paraId="421F7899">
            <w:pPr>
              <w:rPr>
                <w:rFonts w:hint="default" w:ascii="none" w:hAnsi="none" w:eastAsia="none" w:cs="none"/>
                <w:i w:val="0"/>
                <w:iCs w:val="0"/>
                <w:sz w:val="24"/>
                <w:szCs w:val="24"/>
              </w:rPr>
            </w:pPr>
          </w:p>
        </w:tc>
      </w:tr>
      <w:tr w14:paraId="57234AD2">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tblCellSpacing w:w="0" w:type="dxa"/>
        </w:trPr>
        <w:tc>
          <w:tcPr>
            <w:tcW w:w="300" w:type="pct"/>
            <w:vMerge w:val="continue"/>
            <w:shd w:val="clear"/>
            <w:vAlign w:val="center"/>
          </w:tcPr>
          <w:p w14:paraId="1F863246">
            <w:pPr>
              <w:rPr>
                <w:rFonts w:hint="default" w:ascii="none" w:hAnsi="none" w:eastAsia="none" w:cs="none"/>
                <w:i w:val="0"/>
                <w:iCs w:val="0"/>
                <w:sz w:val="24"/>
                <w:szCs w:val="24"/>
              </w:rPr>
            </w:pPr>
          </w:p>
        </w:tc>
        <w:tc>
          <w:tcPr>
            <w:tcW w:w="550" w:type="pct"/>
            <w:vMerge w:val="continue"/>
            <w:shd w:val="clear"/>
            <w:vAlign w:val="center"/>
          </w:tcPr>
          <w:p w14:paraId="5008664F">
            <w:pPr>
              <w:rPr>
                <w:rFonts w:hint="default" w:ascii="none" w:hAnsi="none" w:eastAsia="none" w:cs="none"/>
                <w:i w:val="0"/>
                <w:iCs w:val="0"/>
                <w:sz w:val="24"/>
                <w:szCs w:val="24"/>
              </w:rPr>
            </w:pPr>
          </w:p>
        </w:tc>
        <w:tc>
          <w:tcPr>
            <w:tcW w:w="700" w:type="pct"/>
            <w:shd w:val="clear"/>
            <w:vAlign w:val="center"/>
          </w:tcPr>
          <w:p w14:paraId="02A47B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left"/>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罗源高级职业中学</w:t>
            </w:r>
          </w:p>
        </w:tc>
        <w:tc>
          <w:tcPr>
            <w:tcW w:w="300" w:type="pct"/>
            <w:shd w:val="clear"/>
            <w:vAlign w:val="center"/>
          </w:tcPr>
          <w:p w14:paraId="157DFDB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1</w:t>
            </w:r>
          </w:p>
        </w:tc>
        <w:tc>
          <w:tcPr>
            <w:tcW w:w="450" w:type="pct"/>
            <w:vMerge w:val="continue"/>
            <w:shd w:val="clear"/>
            <w:vAlign w:val="center"/>
          </w:tcPr>
          <w:p w14:paraId="3A056CC5">
            <w:pPr>
              <w:rPr>
                <w:rFonts w:hint="default" w:ascii="none" w:hAnsi="none" w:eastAsia="none" w:cs="none"/>
                <w:i w:val="0"/>
                <w:iCs w:val="0"/>
                <w:sz w:val="24"/>
                <w:szCs w:val="24"/>
              </w:rPr>
            </w:pPr>
          </w:p>
        </w:tc>
        <w:tc>
          <w:tcPr>
            <w:tcW w:w="450" w:type="pct"/>
            <w:vMerge w:val="continue"/>
            <w:shd w:val="clear"/>
            <w:vAlign w:val="center"/>
          </w:tcPr>
          <w:p w14:paraId="204B9ADF">
            <w:pPr>
              <w:rPr>
                <w:rFonts w:hint="default" w:ascii="none" w:hAnsi="none" w:eastAsia="none" w:cs="none"/>
                <w:i w:val="0"/>
                <w:iCs w:val="0"/>
                <w:sz w:val="24"/>
                <w:szCs w:val="24"/>
              </w:rPr>
            </w:pPr>
          </w:p>
        </w:tc>
        <w:tc>
          <w:tcPr>
            <w:tcW w:w="600" w:type="pct"/>
            <w:vMerge w:val="continue"/>
            <w:shd w:val="clear"/>
            <w:vAlign w:val="center"/>
          </w:tcPr>
          <w:p w14:paraId="1B1B2DBF">
            <w:pPr>
              <w:rPr>
                <w:rFonts w:hint="default" w:ascii="none" w:hAnsi="none" w:eastAsia="none" w:cs="none"/>
                <w:i w:val="0"/>
                <w:iCs w:val="0"/>
                <w:sz w:val="24"/>
                <w:szCs w:val="24"/>
              </w:rPr>
            </w:pPr>
          </w:p>
        </w:tc>
        <w:tc>
          <w:tcPr>
            <w:tcW w:w="800" w:type="pct"/>
            <w:vMerge w:val="continue"/>
            <w:shd w:val="clear"/>
            <w:vAlign w:val="center"/>
          </w:tcPr>
          <w:p w14:paraId="057659CB">
            <w:pPr>
              <w:rPr>
                <w:rFonts w:hint="default" w:ascii="none" w:hAnsi="none" w:eastAsia="none" w:cs="none"/>
                <w:i w:val="0"/>
                <w:iCs w:val="0"/>
                <w:sz w:val="24"/>
                <w:szCs w:val="24"/>
              </w:rPr>
            </w:pPr>
          </w:p>
        </w:tc>
        <w:tc>
          <w:tcPr>
            <w:tcW w:w="650" w:type="pct"/>
            <w:vMerge w:val="continue"/>
            <w:shd w:val="clear"/>
            <w:vAlign w:val="center"/>
          </w:tcPr>
          <w:p w14:paraId="63FEEA1C">
            <w:pPr>
              <w:rPr>
                <w:rFonts w:hint="default" w:ascii="none" w:hAnsi="none" w:eastAsia="none" w:cs="none"/>
                <w:i w:val="0"/>
                <w:iCs w:val="0"/>
                <w:sz w:val="24"/>
                <w:szCs w:val="24"/>
              </w:rPr>
            </w:pPr>
          </w:p>
        </w:tc>
      </w:tr>
      <w:tr w14:paraId="13AF4EEB">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tblCellSpacing w:w="0" w:type="dxa"/>
        </w:trPr>
        <w:tc>
          <w:tcPr>
            <w:tcW w:w="300" w:type="pct"/>
            <w:vMerge w:val="continue"/>
            <w:shd w:val="clear"/>
            <w:vAlign w:val="center"/>
          </w:tcPr>
          <w:p w14:paraId="39DD233B">
            <w:pPr>
              <w:rPr>
                <w:rFonts w:hint="default" w:ascii="none" w:hAnsi="none" w:eastAsia="none" w:cs="none"/>
                <w:i w:val="0"/>
                <w:iCs w:val="0"/>
                <w:sz w:val="24"/>
                <w:szCs w:val="24"/>
              </w:rPr>
            </w:pPr>
          </w:p>
        </w:tc>
        <w:tc>
          <w:tcPr>
            <w:tcW w:w="550" w:type="pct"/>
            <w:vMerge w:val="continue"/>
            <w:shd w:val="clear"/>
            <w:vAlign w:val="center"/>
          </w:tcPr>
          <w:p w14:paraId="1E516822">
            <w:pPr>
              <w:rPr>
                <w:rFonts w:hint="default" w:ascii="none" w:hAnsi="none" w:eastAsia="none" w:cs="none"/>
                <w:i w:val="0"/>
                <w:iCs w:val="0"/>
                <w:sz w:val="24"/>
                <w:szCs w:val="24"/>
              </w:rPr>
            </w:pPr>
          </w:p>
        </w:tc>
        <w:tc>
          <w:tcPr>
            <w:tcW w:w="700" w:type="pct"/>
            <w:shd w:val="clear"/>
            <w:vAlign w:val="center"/>
          </w:tcPr>
          <w:p w14:paraId="67F71C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left"/>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罗源第二中学</w:t>
            </w:r>
          </w:p>
        </w:tc>
        <w:tc>
          <w:tcPr>
            <w:tcW w:w="300" w:type="pct"/>
            <w:shd w:val="clear"/>
            <w:vAlign w:val="center"/>
          </w:tcPr>
          <w:p w14:paraId="43895F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1</w:t>
            </w:r>
          </w:p>
        </w:tc>
        <w:tc>
          <w:tcPr>
            <w:tcW w:w="450" w:type="pct"/>
            <w:vMerge w:val="restart"/>
            <w:shd w:val="clear"/>
            <w:vAlign w:val="center"/>
          </w:tcPr>
          <w:p w14:paraId="5296063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本科及以上</w:t>
            </w:r>
          </w:p>
        </w:tc>
        <w:tc>
          <w:tcPr>
            <w:tcW w:w="450" w:type="pct"/>
            <w:vMerge w:val="restart"/>
            <w:shd w:val="clear"/>
            <w:vAlign w:val="center"/>
          </w:tcPr>
          <w:p w14:paraId="2957CB5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学士及以上</w:t>
            </w:r>
          </w:p>
        </w:tc>
        <w:tc>
          <w:tcPr>
            <w:tcW w:w="600" w:type="pct"/>
            <w:vMerge w:val="continue"/>
            <w:shd w:val="clear"/>
            <w:vAlign w:val="center"/>
          </w:tcPr>
          <w:p w14:paraId="370BB334">
            <w:pPr>
              <w:rPr>
                <w:rFonts w:hint="default" w:ascii="none" w:hAnsi="none" w:eastAsia="none" w:cs="none"/>
                <w:i w:val="0"/>
                <w:iCs w:val="0"/>
                <w:sz w:val="24"/>
                <w:szCs w:val="24"/>
              </w:rPr>
            </w:pPr>
          </w:p>
        </w:tc>
        <w:tc>
          <w:tcPr>
            <w:tcW w:w="800" w:type="pct"/>
            <w:vMerge w:val="continue"/>
            <w:shd w:val="clear"/>
            <w:vAlign w:val="center"/>
          </w:tcPr>
          <w:p w14:paraId="08C85DF8">
            <w:pPr>
              <w:rPr>
                <w:rFonts w:hint="default" w:ascii="none" w:hAnsi="none" w:eastAsia="none" w:cs="none"/>
                <w:i w:val="0"/>
                <w:iCs w:val="0"/>
                <w:sz w:val="24"/>
                <w:szCs w:val="24"/>
              </w:rPr>
            </w:pPr>
          </w:p>
        </w:tc>
        <w:tc>
          <w:tcPr>
            <w:tcW w:w="650" w:type="pct"/>
            <w:vMerge w:val="continue"/>
            <w:shd w:val="clear"/>
            <w:vAlign w:val="center"/>
          </w:tcPr>
          <w:p w14:paraId="75AAC988">
            <w:pPr>
              <w:rPr>
                <w:rFonts w:hint="default" w:ascii="none" w:hAnsi="none" w:eastAsia="none" w:cs="none"/>
                <w:i w:val="0"/>
                <w:iCs w:val="0"/>
                <w:sz w:val="24"/>
                <w:szCs w:val="24"/>
              </w:rPr>
            </w:pPr>
          </w:p>
        </w:tc>
      </w:tr>
      <w:tr w14:paraId="5FEB8A6F">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tblCellSpacing w:w="0" w:type="dxa"/>
        </w:trPr>
        <w:tc>
          <w:tcPr>
            <w:tcW w:w="300" w:type="pct"/>
            <w:vMerge w:val="continue"/>
            <w:shd w:val="clear"/>
            <w:vAlign w:val="center"/>
          </w:tcPr>
          <w:p w14:paraId="6EE76FF5">
            <w:pPr>
              <w:rPr>
                <w:rFonts w:hint="default" w:ascii="none" w:hAnsi="none" w:eastAsia="none" w:cs="none"/>
                <w:i w:val="0"/>
                <w:iCs w:val="0"/>
                <w:sz w:val="24"/>
                <w:szCs w:val="24"/>
              </w:rPr>
            </w:pPr>
          </w:p>
        </w:tc>
        <w:tc>
          <w:tcPr>
            <w:tcW w:w="550" w:type="pct"/>
            <w:vMerge w:val="continue"/>
            <w:shd w:val="clear"/>
            <w:vAlign w:val="center"/>
          </w:tcPr>
          <w:p w14:paraId="504C3B2A">
            <w:pPr>
              <w:rPr>
                <w:rFonts w:hint="default" w:ascii="none" w:hAnsi="none" w:eastAsia="none" w:cs="none"/>
                <w:i w:val="0"/>
                <w:iCs w:val="0"/>
                <w:sz w:val="24"/>
                <w:szCs w:val="24"/>
              </w:rPr>
            </w:pPr>
          </w:p>
        </w:tc>
        <w:tc>
          <w:tcPr>
            <w:tcW w:w="700" w:type="pct"/>
            <w:shd w:val="clear"/>
            <w:vAlign w:val="center"/>
          </w:tcPr>
          <w:p w14:paraId="20FBEF9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left"/>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罗源高级职业中学</w:t>
            </w:r>
          </w:p>
        </w:tc>
        <w:tc>
          <w:tcPr>
            <w:tcW w:w="300" w:type="pct"/>
            <w:shd w:val="clear"/>
            <w:vAlign w:val="center"/>
          </w:tcPr>
          <w:p w14:paraId="298D1FF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5</w:t>
            </w:r>
          </w:p>
        </w:tc>
        <w:tc>
          <w:tcPr>
            <w:tcW w:w="450" w:type="pct"/>
            <w:vMerge w:val="continue"/>
            <w:shd w:val="clear"/>
            <w:vAlign w:val="center"/>
          </w:tcPr>
          <w:p w14:paraId="2B95CD4E">
            <w:pPr>
              <w:rPr>
                <w:rFonts w:hint="default" w:ascii="none" w:hAnsi="none" w:eastAsia="none" w:cs="none"/>
                <w:i w:val="0"/>
                <w:iCs w:val="0"/>
                <w:sz w:val="24"/>
                <w:szCs w:val="24"/>
              </w:rPr>
            </w:pPr>
          </w:p>
        </w:tc>
        <w:tc>
          <w:tcPr>
            <w:tcW w:w="450" w:type="pct"/>
            <w:vMerge w:val="continue"/>
            <w:shd w:val="clear"/>
            <w:vAlign w:val="center"/>
          </w:tcPr>
          <w:p w14:paraId="01E65B4A">
            <w:pPr>
              <w:rPr>
                <w:rFonts w:hint="default" w:ascii="none" w:hAnsi="none" w:eastAsia="none" w:cs="none"/>
                <w:i w:val="0"/>
                <w:iCs w:val="0"/>
                <w:sz w:val="24"/>
                <w:szCs w:val="24"/>
              </w:rPr>
            </w:pPr>
          </w:p>
        </w:tc>
        <w:tc>
          <w:tcPr>
            <w:tcW w:w="600" w:type="pct"/>
            <w:vMerge w:val="continue"/>
            <w:shd w:val="clear"/>
            <w:vAlign w:val="center"/>
          </w:tcPr>
          <w:p w14:paraId="6E296504">
            <w:pPr>
              <w:rPr>
                <w:rFonts w:hint="default" w:ascii="none" w:hAnsi="none" w:eastAsia="none" w:cs="none"/>
                <w:i w:val="0"/>
                <w:iCs w:val="0"/>
                <w:sz w:val="24"/>
                <w:szCs w:val="24"/>
              </w:rPr>
            </w:pPr>
          </w:p>
        </w:tc>
        <w:tc>
          <w:tcPr>
            <w:tcW w:w="800" w:type="pct"/>
            <w:vMerge w:val="continue"/>
            <w:shd w:val="clear"/>
            <w:vAlign w:val="center"/>
          </w:tcPr>
          <w:p w14:paraId="6B546635">
            <w:pPr>
              <w:rPr>
                <w:rFonts w:hint="default" w:ascii="none" w:hAnsi="none" w:eastAsia="none" w:cs="none"/>
                <w:i w:val="0"/>
                <w:iCs w:val="0"/>
                <w:sz w:val="24"/>
                <w:szCs w:val="24"/>
              </w:rPr>
            </w:pPr>
          </w:p>
        </w:tc>
        <w:tc>
          <w:tcPr>
            <w:tcW w:w="650" w:type="pct"/>
            <w:vMerge w:val="continue"/>
            <w:shd w:val="clear"/>
            <w:vAlign w:val="center"/>
          </w:tcPr>
          <w:p w14:paraId="74D51CA9">
            <w:pPr>
              <w:rPr>
                <w:rFonts w:hint="default" w:ascii="none" w:hAnsi="none" w:eastAsia="none" w:cs="none"/>
                <w:i w:val="0"/>
                <w:iCs w:val="0"/>
                <w:sz w:val="24"/>
                <w:szCs w:val="24"/>
              </w:rPr>
            </w:pPr>
          </w:p>
        </w:tc>
      </w:tr>
      <w:tr w14:paraId="1BD890A3">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CellMar>
            <w:top w:w="0" w:type="dxa"/>
            <w:left w:w="0" w:type="dxa"/>
            <w:bottom w:w="0" w:type="dxa"/>
            <w:right w:w="0" w:type="dxa"/>
          </w:tblCellMar>
        </w:tblPrEx>
        <w:trPr>
          <w:tblCellSpacing w:w="0" w:type="dxa"/>
        </w:trPr>
        <w:tc>
          <w:tcPr>
            <w:tcW w:w="300" w:type="pct"/>
            <w:vMerge w:val="restart"/>
            <w:shd w:val="clear"/>
            <w:vAlign w:val="center"/>
          </w:tcPr>
          <w:p w14:paraId="205B264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4</w:t>
            </w:r>
          </w:p>
        </w:tc>
        <w:tc>
          <w:tcPr>
            <w:tcW w:w="550" w:type="pct"/>
            <w:vMerge w:val="restart"/>
            <w:shd w:val="clear"/>
            <w:vAlign w:val="center"/>
          </w:tcPr>
          <w:p w14:paraId="082392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高中地理教师</w:t>
            </w:r>
          </w:p>
        </w:tc>
        <w:tc>
          <w:tcPr>
            <w:tcW w:w="700" w:type="pct"/>
            <w:shd w:val="clear"/>
            <w:vAlign w:val="center"/>
          </w:tcPr>
          <w:p w14:paraId="3F967AF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left"/>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福州民族中学</w:t>
            </w:r>
          </w:p>
        </w:tc>
        <w:tc>
          <w:tcPr>
            <w:tcW w:w="300" w:type="pct"/>
            <w:shd w:val="clear"/>
            <w:vAlign w:val="center"/>
          </w:tcPr>
          <w:p w14:paraId="04866A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1</w:t>
            </w:r>
          </w:p>
        </w:tc>
        <w:tc>
          <w:tcPr>
            <w:tcW w:w="450" w:type="pct"/>
            <w:vMerge w:val="restart"/>
            <w:shd w:val="clear"/>
            <w:vAlign w:val="center"/>
          </w:tcPr>
          <w:p w14:paraId="3CDAAD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本科及以上</w:t>
            </w:r>
          </w:p>
        </w:tc>
        <w:tc>
          <w:tcPr>
            <w:tcW w:w="450" w:type="pct"/>
            <w:vMerge w:val="restart"/>
            <w:shd w:val="clear"/>
            <w:vAlign w:val="center"/>
          </w:tcPr>
          <w:p w14:paraId="49E09D3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学士及以上</w:t>
            </w:r>
          </w:p>
        </w:tc>
        <w:tc>
          <w:tcPr>
            <w:tcW w:w="600" w:type="pct"/>
            <w:vMerge w:val="restart"/>
            <w:shd w:val="clear"/>
            <w:vAlign w:val="center"/>
          </w:tcPr>
          <w:p w14:paraId="09D1F41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left"/>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地理科学类，地质学类，地理教育、学科教学（地理）。</w:t>
            </w:r>
          </w:p>
        </w:tc>
        <w:tc>
          <w:tcPr>
            <w:tcW w:w="800" w:type="pct"/>
            <w:vMerge w:val="continue"/>
            <w:shd w:val="clear"/>
            <w:vAlign w:val="center"/>
          </w:tcPr>
          <w:p w14:paraId="7CE7B249">
            <w:pPr>
              <w:rPr>
                <w:rFonts w:hint="default" w:ascii="none" w:hAnsi="none" w:eastAsia="none" w:cs="none"/>
                <w:i w:val="0"/>
                <w:iCs w:val="0"/>
                <w:sz w:val="24"/>
                <w:szCs w:val="24"/>
              </w:rPr>
            </w:pPr>
          </w:p>
        </w:tc>
        <w:tc>
          <w:tcPr>
            <w:tcW w:w="650" w:type="pct"/>
            <w:vMerge w:val="continue"/>
            <w:shd w:val="clear"/>
            <w:vAlign w:val="center"/>
          </w:tcPr>
          <w:p w14:paraId="7ADFA866">
            <w:pPr>
              <w:rPr>
                <w:rFonts w:hint="default" w:ascii="none" w:hAnsi="none" w:eastAsia="none" w:cs="none"/>
                <w:i w:val="0"/>
                <w:iCs w:val="0"/>
                <w:sz w:val="24"/>
                <w:szCs w:val="24"/>
              </w:rPr>
            </w:pPr>
          </w:p>
        </w:tc>
      </w:tr>
      <w:tr w14:paraId="203C63BD">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tblCellSpacing w:w="0" w:type="dxa"/>
        </w:trPr>
        <w:tc>
          <w:tcPr>
            <w:tcW w:w="300" w:type="pct"/>
            <w:vMerge w:val="continue"/>
            <w:shd w:val="clear"/>
            <w:vAlign w:val="center"/>
          </w:tcPr>
          <w:p w14:paraId="7E9B3DB0">
            <w:pPr>
              <w:rPr>
                <w:rFonts w:hint="default" w:ascii="none" w:hAnsi="none" w:eastAsia="none" w:cs="none"/>
                <w:i w:val="0"/>
                <w:iCs w:val="0"/>
                <w:sz w:val="24"/>
                <w:szCs w:val="24"/>
              </w:rPr>
            </w:pPr>
          </w:p>
        </w:tc>
        <w:tc>
          <w:tcPr>
            <w:tcW w:w="550" w:type="pct"/>
            <w:vMerge w:val="continue"/>
            <w:shd w:val="clear"/>
            <w:vAlign w:val="center"/>
          </w:tcPr>
          <w:p w14:paraId="71AAEE57">
            <w:pPr>
              <w:rPr>
                <w:rFonts w:hint="default" w:ascii="none" w:hAnsi="none" w:eastAsia="none" w:cs="none"/>
                <w:i w:val="0"/>
                <w:iCs w:val="0"/>
                <w:sz w:val="24"/>
                <w:szCs w:val="24"/>
              </w:rPr>
            </w:pPr>
          </w:p>
        </w:tc>
        <w:tc>
          <w:tcPr>
            <w:tcW w:w="700" w:type="pct"/>
            <w:shd w:val="clear"/>
            <w:vAlign w:val="center"/>
          </w:tcPr>
          <w:p w14:paraId="3F1DBDA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left"/>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罗源高级职业中学</w:t>
            </w:r>
          </w:p>
        </w:tc>
        <w:tc>
          <w:tcPr>
            <w:tcW w:w="300" w:type="pct"/>
            <w:shd w:val="clear"/>
            <w:vAlign w:val="center"/>
          </w:tcPr>
          <w:p w14:paraId="0DCF2C6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1</w:t>
            </w:r>
          </w:p>
        </w:tc>
        <w:tc>
          <w:tcPr>
            <w:tcW w:w="450" w:type="pct"/>
            <w:vMerge w:val="continue"/>
            <w:shd w:val="clear"/>
            <w:vAlign w:val="center"/>
          </w:tcPr>
          <w:p w14:paraId="01DB8E4D">
            <w:pPr>
              <w:rPr>
                <w:rFonts w:hint="default" w:ascii="none" w:hAnsi="none" w:eastAsia="none" w:cs="none"/>
                <w:i w:val="0"/>
                <w:iCs w:val="0"/>
                <w:sz w:val="24"/>
                <w:szCs w:val="24"/>
              </w:rPr>
            </w:pPr>
          </w:p>
        </w:tc>
        <w:tc>
          <w:tcPr>
            <w:tcW w:w="450" w:type="pct"/>
            <w:vMerge w:val="continue"/>
            <w:shd w:val="clear"/>
            <w:vAlign w:val="center"/>
          </w:tcPr>
          <w:p w14:paraId="7C32DEB5">
            <w:pPr>
              <w:rPr>
                <w:rFonts w:hint="default" w:ascii="none" w:hAnsi="none" w:eastAsia="none" w:cs="none"/>
                <w:i w:val="0"/>
                <w:iCs w:val="0"/>
                <w:sz w:val="24"/>
                <w:szCs w:val="24"/>
              </w:rPr>
            </w:pPr>
          </w:p>
        </w:tc>
        <w:tc>
          <w:tcPr>
            <w:tcW w:w="600" w:type="pct"/>
            <w:vMerge w:val="continue"/>
            <w:shd w:val="clear"/>
            <w:vAlign w:val="center"/>
          </w:tcPr>
          <w:p w14:paraId="717A3348">
            <w:pPr>
              <w:rPr>
                <w:rFonts w:hint="default" w:ascii="none" w:hAnsi="none" w:eastAsia="none" w:cs="none"/>
                <w:i w:val="0"/>
                <w:iCs w:val="0"/>
                <w:sz w:val="24"/>
                <w:szCs w:val="24"/>
              </w:rPr>
            </w:pPr>
          </w:p>
        </w:tc>
        <w:tc>
          <w:tcPr>
            <w:tcW w:w="800" w:type="pct"/>
            <w:vMerge w:val="continue"/>
            <w:shd w:val="clear"/>
            <w:vAlign w:val="center"/>
          </w:tcPr>
          <w:p w14:paraId="211E5FF8">
            <w:pPr>
              <w:rPr>
                <w:rFonts w:hint="default" w:ascii="none" w:hAnsi="none" w:eastAsia="none" w:cs="none"/>
                <w:i w:val="0"/>
                <w:iCs w:val="0"/>
                <w:sz w:val="24"/>
                <w:szCs w:val="24"/>
              </w:rPr>
            </w:pPr>
          </w:p>
        </w:tc>
        <w:tc>
          <w:tcPr>
            <w:tcW w:w="650" w:type="pct"/>
            <w:vMerge w:val="continue"/>
            <w:shd w:val="clear"/>
            <w:vAlign w:val="center"/>
          </w:tcPr>
          <w:p w14:paraId="39499896">
            <w:pPr>
              <w:rPr>
                <w:rFonts w:hint="default" w:ascii="none" w:hAnsi="none" w:eastAsia="none" w:cs="none"/>
                <w:i w:val="0"/>
                <w:iCs w:val="0"/>
                <w:sz w:val="24"/>
                <w:szCs w:val="24"/>
              </w:rPr>
            </w:pPr>
          </w:p>
        </w:tc>
      </w:tr>
      <w:tr w14:paraId="09100887">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CellMar>
            <w:top w:w="0" w:type="dxa"/>
            <w:left w:w="0" w:type="dxa"/>
            <w:bottom w:w="0" w:type="dxa"/>
            <w:right w:w="0" w:type="dxa"/>
          </w:tblCellMar>
        </w:tblPrEx>
        <w:trPr>
          <w:tblCellSpacing w:w="0" w:type="dxa"/>
        </w:trPr>
        <w:tc>
          <w:tcPr>
            <w:tcW w:w="300" w:type="pct"/>
            <w:shd w:val="clear"/>
            <w:vAlign w:val="center"/>
          </w:tcPr>
          <w:p w14:paraId="65491B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5</w:t>
            </w:r>
          </w:p>
        </w:tc>
        <w:tc>
          <w:tcPr>
            <w:tcW w:w="550" w:type="pct"/>
            <w:shd w:val="clear"/>
            <w:vAlign w:val="center"/>
          </w:tcPr>
          <w:p w14:paraId="3EB3C38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高中政治教师</w:t>
            </w:r>
          </w:p>
        </w:tc>
        <w:tc>
          <w:tcPr>
            <w:tcW w:w="700" w:type="pct"/>
            <w:shd w:val="clear"/>
            <w:vAlign w:val="center"/>
          </w:tcPr>
          <w:p w14:paraId="78C3F2D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left"/>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罗源高级职业中学</w:t>
            </w:r>
          </w:p>
        </w:tc>
        <w:tc>
          <w:tcPr>
            <w:tcW w:w="300" w:type="pct"/>
            <w:shd w:val="clear"/>
            <w:vAlign w:val="center"/>
          </w:tcPr>
          <w:p w14:paraId="21CC2A5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1</w:t>
            </w:r>
          </w:p>
        </w:tc>
        <w:tc>
          <w:tcPr>
            <w:tcW w:w="450" w:type="pct"/>
            <w:vMerge w:val="restart"/>
            <w:shd w:val="clear"/>
            <w:vAlign w:val="center"/>
          </w:tcPr>
          <w:p w14:paraId="26966D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本科及以上</w:t>
            </w:r>
          </w:p>
        </w:tc>
        <w:tc>
          <w:tcPr>
            <w:tcW w:w="450" w:type="pct"/>
            <w:vMerge w:val="restart"/>
            <w:shd w:val="clear"/>
            <w:vAlign w:val="center"/>
          </w:tcPr>
          <w:p w14:paraId="6779263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学士及以上</w:t>
            </w:r>
          </w:p>
        </w:tc>
        <w:tc>
          <w:tcPr>
            <w:tcW w:w="600" w:type="pct"/>
            <w:shd w:val="clear"/>
            <w:vAlign w:val="center"/>
          </w:tcPr>
          <w:p w14:paraId="51309B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left"/>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政治学类，哲学类，社会学类，马克思主义理论类，学科教学（思想政治教育）。</w:t>
            </w:r>
          </w:p>
        </w:tc>
        <w:tc>
          <w:tcPr>
            <w:tcW w:w="800" w:type="pct"/>
            <w:vMerge w:val="restart"/>
            <w:shd w:val="clear"/>
            <w:vAlign w:val="center"/>
          </w:tcPr>
          <w:p w14:paraId="634DBFE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left"/>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报考初中、高中岗位均须持有所报岗位学科高级中学教师资格证书；报考职业中学岗位须持有所报岗位学科高级中学教师资格证书或中等职业学校本学科教师资格证书。</w:t>
            </w:r>
          </w:p>
        </w:tc>
        <w:tc>
          <w:tcPr>
            <w:tcW w:w="650" w:type="pct"/>
            <w:vMerge w:val="restart"/>
            <w:shd w:val="clear"/>
            <w:vAlign w:val="center"/>
          </w:tcPr>
          <w:p w14:paraId="24470AA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left"/>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须持有相应层次的学历、学位证书；年龄要求38周岁及以下。</w:t>
            </w:r>
          </w:p>
        </w:tc>
      </w:tr>
      <w:tr w14:paraId="7D8CE5AC">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shd w:val="clear"/>
          <w:tblCellMar>
            <w:top w:w="0" w:type="dxa"/>
            <w:left w:w="0" w:type="dxa"/>
            <w:bottom w:w="0" w:type="dxa"/>
            <w:right w:w="0" w:type="dxa"/>
          </w:tblCellMar>
        </w:tblPrEx>
        <w:trPr>
          <w:tblCellSpacing w:w="0" w:type="dxa"/>
        </w:trPr>
        <w:tc>
          <w:tcPr>
            <w:tcW w:w="300" w:type="pct"/>
            <w:shd w:val="clear"/>
            <w:vAlign w:val="center"/>
          </w:tcPr>
          <w:p w14:paraId="4333B7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6</w:t>
            </w:r>
          </w:p>
        </w:tc>
        <w:tc>
          <w:tcPr>
            <w:tcW w:w="550" w:type="pct"/>
            <w:shd w:val="clear"/>
            <w:vAlign w:val="center"/>
          </w:tcPr>
          <w:p w14:paraId="7E35E18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初中数学教师</w:t>
            </w:r>
          </w:p>
        </w:tc>
        <w:tc>
          <w:tcPr>
            <w:tcW w:w="700" w:type="pct"/>
            <w:shd w:val="clear"/>
            <w:vAlign w:val="center"/>
          </w:tcPr>
          <w:p w14:paraId="4DE08F0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罗源第三中学</w:t>
            </w:r>
          </w:p>
        </w:tc>
        <w:tc>
          <w:tcPr>
            <w:tcW w:w="300" w:type="pct"/>
            <w:shd w:val="clear"/>
            <w:vAlign w:val="center"/>
          </w:tcPr>
          <w:p w14:paraId="2718124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1</w:t>
            </w:r>
          </w:p>
        </w:tc>
        <w:tc>
          <w:tcPr>
            <w:tcW w:w="450" w:type="pct"/>
            <w:vMerge w:val="continue"/>
            <w:shd w:val="clear"/>
            <w:vAlign w:val="center"/>
          </w:tcPr>
          <w:p w14:paraId="1F62786A">
            <w:pPr>
              <w:rPr>
                <w:rFonts w:hint="default" w:ascii="none" w:hAnsi="none" w:eastAsia="none" w:cs="none"/>
                <w:i w:val="0"/>
                <w:iCs w:val="0"/>
                <w:sz w:val="24"/>
                <w:szCs w:val="24"/>
              </w:rPr>
            </w:pPr>
          </w:p>
        </w:tc>
        <w:tc>
          <w:tcPr>
            <w:tcW w:w="450" w:type="pct"/>
            <w:vMerge w:val="continue"/>
            <w:shd w:val="clear"/>
            <w:vAlign w:val="center"/>
          </w:tcPr>
          <w:p w14:paraId="37A715C4">
            <w:pPr>
              <w:rPr>
                <w:rFonts w:hint="default" w:ascii="none" w:hAnsi="none" w:eastAsia="none" w:cs="none"/>
                <w:i w:val="0"/>
                <w:iCs w:val="0"/>
                <w:sz w:val="24"/>
                <w:szCs w:val="24"/>
              </w:rPr>
            </w:pPr>
          </w:p>
        </w:tc>
        <w:tc>
          <w:tcPr>
            <w:tcW w:w="600" w:type="pct"/>
            <w:shd w:val="clear"/>
            <w:vAlign w:val="center"/>
          </w:tcPr>
          <w:p w14:paraId="1FADF0A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left"/>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数学类，统计学类，数学教育、学科教学（数学）。</w:t>
            </w:r>
          </w:p>
        </w:tc>
        <w:tc>
          <w:tcPr>
            <w:tcW w:w="800" w:type="pct"/>
            <w:vMerge w:val="continue"/>
            <w:shd w:val="clear"/>
            <w:vAlign w:val="center"/>
          </w:tcPr>
          <w:p w14:paraId="6636D662">
            <w:pPr>
              <w:rPr>
                <w:rFonts w:hint="default" w:ascii="none" w:hAnsi="none" w:eastAsia="none" w:cs="none"/>
                <w:i w:val="0"/>
                <w:iCs w:val="0"/>
                <w:sz w:val="24"/>
                <w:szCs w:val="24"/>
              </w:rPr>
            </w:pPr>
          </w:p>
        </w:tc>
        <w:tc>
          <w:tcPr>
            <w:tcW w:w="650" w:type="pct"/>
            <w:vMerge w:val="continue"/>
            <w:shd w:val="clear"/>
            <w:vAlign w:val="center"/>
          </w:tcPr>
          <w:p w14:paraId="14EE2CD3">
            <w:pPr>
              <w:rPr>
                <w:rFonts w:hint="default" w:ascii="none" w:hAnsi="none" w:eastAsia="none" w:cs="none"/>
                <w:i w:val="0"/>
                <w:iCs w:val="0"/>
                <w:sz w:val="24"/>
                <w:szCs w:val="24"/>
              </w:rPr>
            </w:pPr>
          </w:p>
        </w:tc>
      </w:tr>
      <w:tr w14:paraId="600BD979">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tblCellSpacing w:w="0" w:type="dxa"/>
        </w:trPr>
        <w:tc>
          <w:tcPr>
            <w:tcW w:w="300" w:type="pct"/>
            <w:shd w:val="clear"/>
            <w:vAlign w:val="center"/>
          </w:tcPr>
          <w:p w14:paraId="26D897F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7</w:t>
            </w:r>
          </w:p>
        </w:tc>
        <w:tc>
          <w:tcPr>
            <w:tcW w:w="550" w:type="pct"/>
            <w:shd w:val="clear"/>
            <w:vAlign w:val="center"/>
          </w:tcPr>
          <w:p w14:paraId="135E0F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初中物理教师</w:t>
            </w:r>
          </w:p>
        </w:tc>
        <w:tc>
          <w:tcPr>
            <w:tcW w:w="700" w:type="pct"/>
            <w:shd w:val="clear"/>
            <w:vAlign w:val="center"/>
          </w:tcPr>
          <w:p w14:paraId="1223213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罗源第三中学</w:t>
            </w:r>
          </w:p>
        </w:tc>
        <w:tc>
          <w:tcPr>
            <w:tcW w:w="300" w:type="pct"/>
            <w:shd w:val="clear"/>
            <w:vAlign w:val="center"/>
          </w:tcPr>
          <w:p w14:paraId="3B7EC1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1</w:t>
            </w:r>
          </w:p>
        </w:tc>
        <w:tc>
          <w:tcPr>
            <w:tcW w:w="450" w:type="pct"/>
            <w:vMerge w:val="continue"/>
            <w:shd w:val="clear"/>
            <w:vAlign w:val="center"/>
          </w:tcPr>
          <w:p w14:paraId="2BB9A75B">
            <w:pPr>
              <w:rPr>
                <w:rFonts w:hint="default" w:ascii="none" w:hAnsi="none" w:eastAsia="none" w:cs="none"/>
                <w:i w:val="0"/>
                <w:iCs w:val="0"/>
                <w:sz w:val="24"/>
                <w:szCs w:val="24"/>
              </w:rPr>
            </w:pPr>
          </w:p>
        </w:tc>
        <w:tc>
          <w:tcPr>
            <w:tcW w:w="450" w:type="pct"/>
            <w:vMerge w:val="continue"/>
            <w:shd w:val="clear"/>
            <w:vAlign w:val="center"/>
          </w:tcPr>
          <w:p w14:paraId="7DD6943F">
            <w:pPr>
              <w:rPr>
                <w:rFonts w:hint="default" w:ascii="none" w:hAnsi="none" w:eastAsia="none" w:cs="none"/>
                <w:i w:val="0"/>
                <w:iCs w:val="0"/>
                <w:sz w:val="24"/>
                <w:szCs w:val="24"/>
              </w:rPr>
            </w:pPr>
          </w:p>
        </w:tc>
        <w:tc>
          <w:tcPr>
            <w:tcW w:w="600" w:type="pct"/>
            <w:shd w:val="clear"/>
            <w:vAlign w:val="center"/>
          </w:tcPr>
          <w:p w14:paraId="621DCD8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left"/>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物理学类，物理教育、学科教学（物理）。</w:t>
            </w:r>
          </w:p>
        </w:tc>
        <w:tc>
          <w:tcPr>
            <w:tcW w:w="800" w:type="pct"/>
            <w:vMerge w:val="continue"/>
            <w:shd w:val="clear"/>
            <w:vAlign w:val="center"/>
          </w:tcPr>
          <w:p w14:paraId="3305E89B">
            <w:pPr>
              <w:rPr>
                <w:rFonts w:hint="default" w:ascii="none" w:hAnsi="none" w:eastAsia="none" w:cs="none"/>
                <w:i w:val="0"/>
                <w:iCs w:val="0"/>
                <w:sz w:val="24"/>
                <w:szCs w:val="24"/>
              </w:rPr>
            </w:pPr>
          </w:p>
        </w:tc>
        <w:tc>
          <w:tcPr>
            <w:tcW w:w="650" w:type="pct"/>
            <w:vMerge w:val="continue"/>
            <w:shd w:val="clear"/>
            <w:vAlign w:val="center"/>
          </w:tcPr>
          <w:p w14:paraId="1D397251">
            <w:pPr>
              <w:rPr>
                <w:rFonts w:hint="default" w:ascii="none" w:hAnsi="none" w:eastAsia="none" w:cs="none"/>
                <w:i w:val="0"/>
                <w:iCs w:val="0"/>
                <w:sz w:val="24"/>
                <w:szCs w:val="24"/>
              </w:rPr>
            </w:pPr>
          </w:p>
        </w:tc>
      </w:tr>
      <w:tr w14:paraId="6BC1A9C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tblCellSpacing w:w="0" w:type="dxa"/>
        </w:trPr>
        <w:tc>
          <w:tcPr>
            <w:tcW w:w="300" w:type="pct"/>
            <w:shd w:val="clear"/>
            <w:vAlign w:val="center"/>
          </w:tcPr>
          <w:p w14:paraId="00075BD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8</w:t>
            </w:r>
          </w:p>
        </w:tc>
        <w:tc>
          <w:tcPr>
            <w:tcW w:w="550" w:type="pct"/>
            <w:shd w:val="clear"/>
            <w:vAlign w:val="center"/>
          </w:tcPr>
          <w:p w14:paraId="4FF1C7B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初中政治教师</w:t>
            </w:r>
          </w:p>
        </w:tc>
        <w:tc>
          <w:tcPr>
            <w:tcW w:w="700" w:type="pct"/>
            <w:shd w:val="clear"/>
            <w:vAlign w:val="center"/>
          </w:tcPr>
          <w:p w14:paraId="012C713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罗源第三中学</w:t>
            </w:r>
          </w:p>
        </w:tc>
        <w:tc>
          <w:tcPr>
            <w:tcW w:w="300" w:type="pct"/>
            <w:shd w:val="clear"/>
            <w:vAlign w:val="center"/>
          </w:tcPr>
          <w:p w14:paraId="67104A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1</w:t>
            </w:r>
          </w:p>
        </w:tc>
        <w:tc>
          <w:tcPr>
            <w:tcW w:w="450" w:type="pct"/>
            <w:vMerge w:val="continue"/>
            <w:shd w:val="clear"/>
            <w:vAlign w:val="center"/>
          </w:tcPr>
          <w:p w14:paraId="1D3280DA">
            <w:pPr>
              <w:rPr>
                <w:rFonts w:hint="default" w:ascii="none" w:hAnsi="none" w:eastAsia="none" w:cs="none"/>
                <w:i w:val="0"/>
                <w:iCs w:val="0"/>
                <w:sz w:val="24"/>
                <w:szCs w:val="24"/>
              </w:rPr>
            </w:pPr>
          </w:p>
        </w:tc>
        <w:tc>
          <w:tcPr>
            <w:tcW w:w="450" w:type="pct"/>
            <w:vMerge w:val="continue"/>
            <w:shd w:val="clear"/>
            <w:vAlign w:val="center"/>
          </w:tcPr>
          <w:p w14:paraId="5395ECED">
            <w:pPr>
              <w:rPr>
                <w:rFonts w:hint="default" w:ascii="none" w:hAnsi="none" w:eastAsia="none" w:cs="none"/>
                <w:i w:val="0"/>
                <w:iCs w:val="0"/>
                <w:sz w:val="24"/>
                <w:szCs w:val="24"/>
              </w:rPr>
            </w:pPr>
          </w:p>
        </w:tc>
        <w:tc>
          <w:tcPr>
            <w:tcW w:w="600" w:type="pct"/>
            <w:shd w:val="clear"/>
            <w:vAlign w:val="center"/>
          </w:tcPr>
          <w:p w14:paraId="2AC40CE5">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left"/>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政治学类，哲学类，社会学类，马克思主义理论类，学科教学（思想政治教育）。</w:t>
            </w:r>
          </w:p>
        </w:tc>
        <w:tc>
          <w:tcPr>
            <w:tcW w:w="800" w:type="pct"/>
            <w:vMerge w:val="continue"/>
            <w:shd w:val="clear"/>
            <w:vAlign w:val="center"/>
          </w:tcPr>
          <w:p w14:paraId="0F9FE51B">
            <w:pPr>
              <w:rPr>
                <w:rFonts w:hint="default" w:ascii="none" w:hAnsi="none" w:eastAsia="none" w:cs="none"/>
                <w:i w:val="0"/>
                <w:iCs w:val="0"/>
                <w:sz w:val="24"/>
                <w:szCs w:val="24"/>
              </w:rPr>
            </w:pPr>
          </w:p>
        </w:tc>
        <w:tc>
          <w:tcPr>
            <w:tcW w:w="650" w:type="pct"/>
            <w:vMerge w:val="continue"/>
            <w:shd w:val="clear"/>
            <w:vAlign w:val="center"/>
          </w:tcPr>
          <w:p w14:paraId="7A262400">
            <w:pPr>
              <w:rPr>
                <w:rFonts w:hint="default" w:ascii="none" w:hAnsi="none" w:eastAsia="none" w:cs="none"/>
                <w:i w:val="0"/>
                <w:iCs w:val="0"/>
                <w:sz w:val="24"/>
                <w:szCs w:val="24"/>
              </w:rPr>
            </w:pPr>
          </w:p>
        </w:tc>
      </w:tr>
      <w:tr w14:paraId="793A4C48">
        <w:tblPrEx>
          <w:tblBorders>
            <w:top w:val="outset" w:color="000000" w:sz="6" w:space="0"/>
            <w:left w:val="outset" w:color="000000" w:sz="6" w:space="0"/>
            <w:bottom w:val="outset" w:color="000000" w:sz="6" w:space="0"/>
            <w:right w:val="outset" w:color="000000" w:sz="6" w:space="0"/>
            <w:insideH w:val="outset" w:color="000000" w:sz="6" w:space="0"/>
            <w:insideV w:val="outset" w:color="000000" w:sz="6" w:space="0"/>
          </w:tblBorders>
          <w:tblCellMar>
            <w:top w:w="0" w:type="dxa"/>
            <w:left w:w="0" w:type="dxa"/>
            <w:bottom w:w="0" w:type="dxa"/>
            <w:right w:w="0" w:type="dxa"/>
          </w:tblCellMar>
        </w:tblPrEx>
        <w:trPr>
          <w:tblCellSpacing w:w="0" w:type="dxa"/>
        </w:trPr>
        <w:tc>
          <w:tcPr>
            <w:tcW w:w="300" w:type="pct"/>
            <w:shd w:val="clear"/>
            <w:vAlign w:val="center"/>
          </w:tcPr>
          <w:p w14:paraId="5D1103EC">
            <w:pPr>
              <w:keepNext w:val="0"/>
              <w:keepLines w:val="0"/>
              <w:widowControl/>
              <w:suppressLineNumbers w:val="0"/>
              <w:spacing w:before="0" w:beforeAutospacing="0" w:after="0" w:afterAutospacing="0"/>
              <w:ind w:left="0" w:right="0"/>
              <w:jc w:val="left"/>
              <w:rPr>
                <w:rFonts w:hint="default" w:ascii="none" w:hAnsi="none" w:eastAsia="none" w:cs="none"/>
                <w:i w:val="0"/>
                <w:iCs w:val="0"/>
                <w:sz w:val="24"/>
                <w:szCs w:val="24"/>
              </w:rPr>
            </w:pPr>
            <w:r>
              <w:rPr>
                <w:rFonts w:hint="default" w:ascii="none" w:hAnsi="none" w:eastAsia="none" w:cs="none"/>
                <w:i w:val="0"/>
                <w:iCs w:val="0"/>
                <w:kern w:val="0"/>
                <w:sz w:val="24"/>
                <w:szCs w:val="24"/>
                <w:bdr w:val="none" w:color="auto" w:sz="0" w:space="0"/>
                <w:lang w:val="en-US" w:eastAsia="zh-CN" w:bidi="ar"/>
              </w:rPr>
              <w:t> </w:t>
            </w:r>
          </w:p>
        </w:tc>
        <w:tc>
          <w:tcPr>
            <w:tcW w:w="550" w:type="pct"/>
            <w:shd w:val="clear"/>
            <w:vAlign w:val="center"/>
          </w:tcPr>
          <w:p w14:paraId="222B64A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合计</w:t>
            </w:r>
          </w:p>
        </w:tc>
        <w:tc>
          <w:tcPr>
            <w:tcW w:w="700" w:type="pct"/>
            <w:shd w:val="clear"/>
            <w:vAlign w:val="center"/>
          </w:tcPr>
          <w:p w14:paraId="5FEBA715">
            <w:pPr>
              <w:keepNext w:val="0"/>
              <w:keepLines w:val="0"/>
              <w:widowControl/>
              <w:suppressLineNumbers w:val="0"/>
              <w:spacing w:before="0" w:beforeAutospacing="0" w:after="0" w:afterAutospacing="0"/>
              <w:ind w:left="0" w:right="0"/>
              <w:jc w:val="left"/>
              <w:rPr>
                <w:rFonts w:hint="default" w:ascii="none" w:hAnsi="none" w:eastAsia="none" w:cs="none"/>
                <w:i w:val="0"/>
                <w:iCs w:val="0"/>
                <w:sz w:val="24"/>
                <w:szCs w:val="24"/>
              </w:rPr>
            </w:pPr>
            <w:r>
              <w:rPr>
                <w:rFonts w:hint="default" w:ascii="none" w:hAnsi="none" w:eastAsia="none" w:cs="none"/>
                <w:i w:val="0"/>
                <w:iCs w:val="0"/>
                <w:kern w:val="0"/>
                <w:sz w:val="24"/>
                <w:szCs w:val="24"/>
                <w:bdr w:val="none" w:color="auto" w:sz="0" w:space="0"/>
                <w:lang w:val="en-US" w:eastAsia="zh-CN" w:bidi="ar"/>
              </w:rPr>
              <w:t> </w:t>
            </w:r>
          </w:p>
        </w:tc>
        <w:tc>
          <w:tcPr>
            <w:tcW w:w="300" w:type="pct"/>
            <w:shd w:val="clear"/>
            <w:vAlign w:val="center"/>
          </w:tcPr>
          <w:p w14:paraId="0CE3D8C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70" w:beforeAutospacing="0" w:after="0" w:afterAutospacing="0"/>
              <w:ind w:left="0" w:right="0"/>
              <w:jc w:val="center"/>
              <w:rPr>
                <w:rFonts w:hint="default" w:ascii="none" w:hAnsi="none" w:eastAsia="none" w:cs="none"/>
                <w:i w:val="0"/>
                <w:iCs w:val="0"/>
                <w:sz w:val="24"/>
                <w:szCs w:val="24"/>
              </w:rPr>
            </w:pPr>
            <w:r>
              <w:rPr>
                <w:rFonts w:hint="default" w:ascii="none" w:hAnsi="none" w:eastAsia="none" w:cs="none"/>
                <w:i w:val="0"/>
                <w:iCs w:val="0"/>
                <w:sz w:val="24"/>
                <w:szCs w:val="24"/>
                <w:bdr w:val="none" w:color="auto" w:sz="0" w:space="0"/>
              </w:rPr>
              <w:t>20</w:t>
            </w:r>
          </w:p>
        </w:tc>
        <w:tc>
          <w:tcPr>
            <w:tcW w:w="450" w:type="pct"/>
            <w:shd w:val="clear"/>
            <w:vAlign w:val="center"/>
          </w:tcPr>
          <w:p w14:paraId="2DAC9971">
            <w:pPr>
              <w:keepNext w:val="0"/>
              <w:keepLines w:val="0"/>
              <w:widowControl/>
              <w:suppressLineNumbers w:val="0"/>
              <w:spacing w:before="0" w:beforeAutospacing="0" w:after="0" w:afterAutospacing="0"/>
              <w:ind w:left="0" w:right="0"/>
              <w:jc w:val="left"/>
              <w:rPr>
                <w:rFonts w:hint="default" w:ascii="none" w:hAnsi="none" w:eastAsia="none" w:cs="none"/>
                <w:i w:val="0"/>
                <w:iCs w:val="0"/>
                <w:sz w:val="24"/>
                <w:szCs w:val="24"/>
              </w:rPr>
            </w:pPr>
            <w:r>
              <w:rPr>
                <w:rFonts w:hint="default" w:ascii="none" w:hAnsi="none" w:eastAsia="none" w:cs="none"/>
                <w:i w:val="0"/>
                <w:iCs w:val="0"/>
                <w:kern w:val="0"/>
                <w:sz w:val="24"/>
                <w:szCs w:val="24"/>
                <w:bdr w:val="none" w:color="auto" w:sz="0" w:space="0"/>
                <w:lang w:val="en-US" w:eastAsia="zh-CN" w:bidi="ar"/>
              </w:rPr>
              <w:t> </w:t>
            </w:r>
          </w:p>
        </w:tc>
        <w:tc>
          <w:tcPr>
            <w:tcW w:w="450" w:type="pct"/>
            <w:shd w:val="clear"/>
            <w:vAlign w:val="center"/>
          </w:tcPr>
          <w:p w14:paraId="62FD545F">
            <w:pPr>
              <w:keepNext w:val="0"/>
              <w:keepLines w:val="0"/>
              <w:widowControl/>
              <w:suppressLineNumbers w:val="0"/>
              <w:spacing w:before="0" w:beforeAutospacing="0" w:after="0" w:afterAutospacing="0"/>
              <w:ind w:left="0" w:right="0"/>
              <w:jc w:val="left"/>
              <w:rPr>
                <w:rFonts w:hint="default" w:ascii="none" w:hAnsi="none" w:eastAsia="none" w:cs="none"/>
                <w:i w:val="0"/>
                <w:iCs w:val="0"/>
                <w:sz w:val="24"/>
                <w:szCs w:val="24"/>
              </w:rPr>
            </w:pPr>
            <w:r>
              <w:rPr>
                <w:rFonts w:hint="default" w:ascii="none" w:hAnsi="none" w:eastAsia="none" w:cs="none"/>
                <w:i w:val="0"/>
                <w:iCs w:val="0"/>
                <w:kern w:val="0"/>
                <w:sz w:val="24"/>
                <w:szCs w:val="24"/>
                <w:bdr w:val="none" w:color="auto" w:sz="0" w:space="0"/>
                <w:lang w:val="en-US" w:eastAsia="zh-CN" w:bidi="ar"/>
              </w:rPr>
              <w:t> </w:t>
            </w:r>
          </w:p>
        </w:tc>
        <w:tc>
          <w:tcPr>
            <w:tcW w:w="600" w:type="pct"/>
            <w:shd w:val="clear"/>
            <w:vAlign w:val="center"/>
          </w:tcPr>
          <w:p w14:paraId="70286EC5">
            <w:pPr>
              <w:keepNext w:val="0"/>
              <w:keepLines w:val="0"/>
              <w:widowControl/>
              <w:suppressLineNumbers w:val="0"/>
              <w:spacing w:before="0" w:beforeAutospacing="0" w:after="0" w:afterAutospacing="0"/>
              <w:ind w:left="0" w:right="0"/>
              <w:jc w:val="left"/>
              <w:rPr>
                <w:rFonts w:hint="default" w:ascii="none" w:hAnsi="none" w:eastAsia="none" w:cs="none"/>
                <w:i w:val="0"/>
                <w:iCs w:val="0"/>
                <w:sz w:val="24"/>
                <w:szCs w:val="24"/>
              </w:rPr>
            </w:pPr>
            <w:r>
              <w:rPr>
                <w:rFonts w:hint="default" w:ascii="none" w:hAnsi="none" w:eastAsia="none" w:cs="none"/>
                <w:i w:val="0"/>
                <w:iCs w:val="0"/>
                <w:kern w:val="0"/>
                <w:sz w:val="24"/>
                <w:szCs w:val="24"/>
                <w:bdr w:val="none" w:color="auto" w:sz="0" w:space="0"/>
                <w:lang w:val="en-US" w:eastAsia="zh-CN" w:bidi="ar"/>
              </w:rPr>
              <w:t> </w:t>
            </w:r>
          </w:p>
        </w:tc>
        <w:tc>
          <w:tcPr>
            <w:tcW w:w="800" w:type="pct"/>
            <w:shd w:val="clear"/>
            <w:vAlign w:val="center"/>
          </w:tcPr>
          <w:p w14:paraId="3676B623">
            <w:pPr>
              <w:keepNext w:val="0"/>
              <w:keepLines w:val="0"/>
              <w:widowControl/>
              <w:suppressLineNumbers w:val="0"/>
              <w:spacing w:before="0" w:beforeAutospacing="0" w:after="0" w:afterAutospacing="0"/>
              <w:ind w:left="0" w:right="0"/>
              <w:jc w:val="left"/>
              <w:rPr>
                <w:rFonts w:hint="default" w:ascii="none" w:hAnsi="none" w:eastAsia="none" w:cs="none"/>
                <w:i w:val="0"/>
                <w:iCs w:val="0"/>
                <w:sz w:val="24"/>
                <w:szCs w:val="24"/>
              </w:rPr>
            </w:pPr>
            <w:r>
              <w:rPr>
                <w:rFonts w:hint="default" w:ascii="none" w:hAnsi="none" w:eastAsia="none" w:cs="none"/>
                <w:i w:val="0"/>
                <w:iCs w:val="0"/>
                <w:kern w:val="0"/>
                <w:sz w:val="24"/>
                <w:szCs w:val="24"/>
                <w:bdr w:val="none" w:color="auto" w:sz="0" w:space="0"/>
                <w:lang w:val="en-US" w:eastAsia="zh-CN" w:bidi="ar"/>
              </w:rPr>
              <w:t> </w:t>
            </w:r>
          </w:p>
        </w:tc>
        <w:tc>
          <w:tcPr>
            <w:tcW w:w="650" w:type="pct"/>
            <w:shd w:val="clear"/>
            <w:noWrap/>
            <w:vAlign w:val="center"/>
          </w:tcPr>
          <w:p w14:paraId="5A3A4520">
            <w:pPr>
              <w:keepNext w:val="0"/>
              <w:keepLines w:val="0"/>
              <w:widowControl/>
              <w:suppressLineNumbers w:val="0"/>
              <w:spacing w:before="0" w:beforeAutospacing="0" w:after="0" w:afterAutospacing="0"/>
              <w:ind w:left="0" w:right="0"/>
              <w:jc w:val="left"/>
              <w:rPr>
                <w:rFonts w:hint="default" w:ascii="none" w:hAnsi="none" w:eastAsia="none" w:cs="none"/>
                <w:i w:val="0"/>
                <w:iCs w:val="0"/>
                <w:sz w:val="24"/>
                <w:szCs w:val="24"/>
              </w:rPr>
            </w:pPr>
            <w:r>
              <w:rPr>
                <w:rFonts w:hint="default" w:ascii="none" w:hAnsi="none" w:eastAsia="none" w:cs="none"/>
                <w:i w:val="0"/>
                <w:iCs w:val="0"/>
                <w:kern w:val="0"/>
                <w:sz w:val="24"/>
                <w:szCs w:val="24"/>
                <w:bdr w:val="none" w:color="auto" w:sz="0" w:space="0"/>
                <w:lang w:val="en-US" w:eastAsia="zh-CN" w:bidi="ar"/>
              </w:rPr>
              <w:t> </w:t>
            </w:r>
          </w:p>
        </w:tc>
      </w:tr>
    </w:tbl>
    <w:p w14:paraId="0A3E03D4"/>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on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961218"/>
    <w:rsid w:val="669612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2026-10-16T01:06:00Z</dcterms:created>
  <dc:creator>小万19967457850</dc:creator>
  <cp:lastModifiedBy>小万19967457850</cp:lastModifiedBy>
  <dcterms:modified xsi:type="dcterms:W3CDTF">2026-10-16T01:07:16Z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68B0803288AC4BD18C309601E0A5607D_11</vt:lpwstr>
  </property>
  <property fmtid="{D5CDD505-2E9C-101B-9397-08002B2CF9AE}" pid="4" name="KSOTemplateDocerSaveRecord">
    <vt:lpwstr>eyJoZGlkIjoiYWE0MDMzNzM5OTNhOTBjNWI0Y2I3ZDU4OTZmNWFmMTAiLCJ1c2VySWQiOiI2MTA4MjQxMTUifQ==</vt:lpwstr>
  </property>
</Properties>
</file>