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F7A1B">
      <w:pPr>
        <w:keepNext w:val="0"/>
        <w:keepLines w:val="0"/>
        <w:pageBreakBefore w:val="0"/>
        <w:widowControl w:val="0"/>
        <w:kinsoku/>
        <w:wordWrap/>
        <w:overflowPunct w:val="0"/>
        <w:topLinePunct w:val="0"/>
        <w:autoSpaceDE/>
        <w:autoSpaceDN/>
        <w:bidi w:val="0"/>
        <w:adjustRightInd/>
        <w:snapToGrid/>
        <w:spacing w:line="600" w:lineRule="exact"/>
        <w:jc w:val="both"/>
        <w:textAlignment w:val="auto"/>
        <w:rPr>
          <w:rFonts w:hint="eastAsia" w:ascii="黑体" w:hAnsi="黑体" w:eastAsia="黑体" w:cs="黑体"/>
          <w:color w:val="auto"/>
          <w:sz w:val="34"/>
          <w:szCs w:val="34"/>
          <w:lang w:val="en-US" w:eastAsia="zh-CN"/>
        </w:rPr>
      </w:pPr>
      <w:r>
        <w:rPr>
          <w:rFonts w:hint="eastAsia" w:ascii="黑体" w:hAnsi="黑体" w:eastAsia="黑体" w:cs="黑体"/>
          <w:color w:val="auto"/>
          <w:sz w:val="34"/>
          <w:szCs w:val="34"/>
          <w:lang w:eastAsia="zh-CN"/>
        </w:rPr>
        <w:t>附件</w:t>
      </w:r>
      <w:r>
        <w:rPr>
          <w:rFonts w:hint="eastAsia" w:ascii="黑体" w:hAnsi="黑体" w:eastAsia="黑体" w:cs="黑体"/>
          <w:color w:val="auto"/>
          <w:sz w:val="34"/>
          <w:szCs w:val="34"/>
          <w:lang w:val="en-US" w:eastAsia="zh-CN"/>
        </w:rPr>
        <w:t>2</w:t>
      </w:r>
    </w:p>
    <w:p w14:paraId="27BAFF54">
      <w:pPr>
        <w:keepNext w:val="0"/>
        <w:keepLines w:val="0"/>
        <w:pageBreakBefore w:val="0"/>
        <w:widowControl w:val="0"/>
        <w:kinsoku/>
        <w:wordWrap/>
        <w:overflowPunct w:val="0"/>
        <w:topLinePunct w:val="0"/>
        <w:autoSpaceDE/>
        <w:autoSpaceDN/>
        <w:bidi w:val="0"/>
        <w:adjustRightInd/>
        <w:snapToGrid/>
        <w:spacing w:line="600" w:lineRule="exact"/>
        <w:jc w:val="both"/>
        <w:textAlignment w:val="auto"/>
        <w:rPr>
          <w:rFonts w:hint="default" w:ascii="宋体" w:hAnsi="宋体" w:eastAsia="方正小标宋简体" w:cs="Times New Roman"/>
          <w:color w:val="auto"/>
          <w:sz w:val="34"/>
          <w:szCs w:val="34"/>
          <w:lang w:val="en-US" w:eastAsia="zh-CN"/>
        </w:rPr>
      </w:pPr>
    </w:p>
    <w:p w14:paraId="489CD0E6">
      <w:pPr>
        <w:keepNext w:val="0"/>
        <w:keepLines w:val="0"/>
        <w:pageBreakBefore w:val="0"/>
        <w:widowControl w:val="0"/>
        <w:kinsoku/>
        <w:wordWrap/>
        <w:topLinePunct w:val="0"/>
        <w:autoSpaceDE/>
        <w:autoSpaceDN/>
        <w:bidi w:val="0"/>
        <w:adjustRightInd/>
        <w:snapToGrid/>
        <w:spacing w:line="600" w:lineRule="exact"/>
        <w:ind w:left="0" w:leftChars="0"/>
        <w:jc w:val="center"/>
        <w:textAlignment w:val="auto"/>
        <w:rPr>
          <w:rFonts w:hint="eastAsia" w:ascii="宋体" w:hAnsi="宋体" w:eastAsia="方正小标宋简体" w:cs="方正小标宋简体"/>
          <w:color w:val="auto"/>
          <w:w w:val="100"/>
          <w:sz w:val="44"/>
          <w:szCs w:val="44"/>
          <w:lang w:val="en-US" w:eastAsia="zh-CN"/>
        </w:rPr>
      </w:pPr>
      <w:r>
        <w:rPr>
          <w:rFonts w:hint="eastAsia" w:ascii="宋体" w:hAnsi="宋体" w:eastAsia="方正小标宋简体" w:cs="方正小标宋简体"/>
          <w:color w:val="auto"/>
          <w:w w:val="100"/>
          <w:sz w:val="44"/>
          <w:szCs w:val="44"/>
          <w:lang w:val="en-US" w:eastAsia="zh-CN"/>
        </w:rPr>
        <w:t>《阳江市事业单位高层次（急需紧缺）人才目录》</w:t>
      </w:r>
    </w:p>
    <w:p w14:paraId="3813BE8E">
      <w:pPr>
        <w:pStyle w:val="2"/>
        <w:keepNext w:val="0"/>
        <w:keepLines w:val="0"/>
        <w:pageBreakBefore w:val="0"/>
        <w:widowControl w:val="0"/>
        <w:kinsoku/>
        <w:wordWrap/>
        <w:topLinePunct w:val="0"/>
        <w:autoSpaceDE/>
        <w:autoSpaceDN/>
        <w:bidi w:val="0"/>
        <w:adjustRightInd/>
        <w:snapToGrid/>
        <w:spacing w:after="0" w:afterLines="0" w:line="600" w:lineRule="exact"/>
        <w:ind w:left="0" w:leftChars="0"/>
        <w:jc w:val="center"/>
        <w:textAlignment w:val="auto"/>
        <w:rPr>
          <w:rFonts w:hint="eastAsia" w:ascii="宋体" w:hAnsi="宋体" w:eastAsia="楷体" w:cs="楷体"/>
          <w:color w:val="auto"/>
          <w:w w:val="100"/>
          <w:sz w:val="36"/>
          <w:szCs w:val="36"/>
          <w:lang w:val="en-US" w:eastAsia="zh-CN"/>
        </w:rPr>
      </w:pPr>
      <w:r>
        <w:rPr>
          <w:rFonts w:hint="eastAsia" w:ascii="宋体" w:hAnsi="宋体" w:eastAsia="楷体" w:cs="楷体"/>
          <w:color w:val="auto"/>
          <w:w w:val="100"/>
          <w:sz w:val="36"/>
          <w:szCs w:val="36"/>
          <w:lang w:val="en-US" w:eastAsia="zh-CN"/>
        </w:rPr>
        <w:t>（2025年修订）</w:t>
      </w:r>
    </w:p>
    <w:p w14:paraId="0F7D49CA">
      <w:pPr>
        <w:keepNext w:val="0"/>
        <w:keepLines w:val="0"/>
        <w:pageBreakBefore w:val="0"/>
        <w:widowControl w:val="0"/>
        <w:kinsoku/>
        <w:wordWrap/>
        <w:overflowPunct w:val="0"/>
        <w:topLinePunct w:val="0"/>
        <w:autoSpaceDE/>
        <w:autoSpaceDN/>
        <w:bidi w:val="0"/>
        <w:adjustRightInd/>
        <w:snapToGrid/>
        <w:spacing w:line="600" w:lineRule="exact"/>
        <w:ind w:left="0" w:leftChars="0"/>
        <w:textAlignment w:val="auto"/>
        <w:rPr>
          <w:rFonts w:hint="eastAsia" w:ascii="宋体" w:hAnsi="宋体" w:eastAsia="黑体"/>
          <w:color w:val="auto"/>
          <w:sz w:val="34"/>
          <w:szCs w:val="34"/>
        </w:rPr>
      </w:pPr>
    </w:p>
    <w:p w14:paraId="561E4EAE">
      <w:pPr>
        <w:keepNext w:val="0"/>
        <w:keepLines w:val="0"/>
        <w:pageBreakBefore w:val="0"/>
        <w:widowControl w:val="0"/>
        <w:kinsoku/>
        <w:wordWrap/>
        <w:overflowPunct w:val="0"/>
        <w:topLinePunct w:val="0"/>
        <w:autoSpaceDE/>
        <w:autoSpaceDN/>
        <w:bidi w:val="0"/>
        <w:adjustRightInd/>
        <w:snapToGrid/>
        <w:spacing w:line="600" w:lineRule="exact"/>
        <w:ind w:left="0" w:leftChars="0" w:firstLine="680" w:firstLineChars="200"/>
        <w:textAlignment w:val="auto"/>
        <w:rPr>
          <w:rFonts w:hint="eastAsia" w:ascii="宋体" w:hAnsi="宋体" w:eastAsia="黑体"/>
          <w:color w:val="auto"/>
          <w:sz w:val="34"/>
          <w:szCs w:val="34"/>
        </w:rPr>
      </w:pPr>
      <w:r>
        <w:rPr>
          <w:rFonts w:hint="eastAsia" w:ascii="宋体" w:hAnsi="宋体" w:eastAsia="黑体"/>
          <w:color w:val="auto"/>
          <w:sz w:val="34"/>
          <w:szCs w:val="34"/>
        </w:rPr>
        <w:t>一、市直事业单位（不含阳江职业技术学院）</w:t>
      </w:r>
    </w:p>
    <w:p w14:paraId="45EA04BA">
      <w:pPr>
        <w:keepNext w:val="0"/>
        <w:keepLines w:val="0"/>
        <w:pageBreakBefore w:val="0"/>
        <w:widowControl w:val="0"/>
        <w:kinsoku/>
        <w:wordWrap/>
        <w:overflowPunct w:val="0"/>
        <w:topLinePunct w:val="0"/>
        <w:autoSpaceDE/>
        <w:autoSpaceDN/>
        <w:bidi w:val="0"/>
        <w:adjustRightInd/>
        <w:snapToGrid/>
        <w:spacing w:line="600" w:lineRule="exact"/>
        <w:ind w:left="0" w:leftChars="0" w:firstLine="680" w:firstLineChars="200"/>
        <w:textAlignment w:val="auto"/>
        <w:rPr>
          <w:rFonts w:hint="eastAsia" w:ascii="宋体" w:hAnsi="宋体" w:eastAsia="方正仿宋简体" w:cs="方正仿宋简体"/>
          <w:color w:val="auto"/>
          <w:sz w:val="34"/>
          <w:szCs w:val="34"/>
        </w:rPr>
      </w:pPr>
      <w:r>
        <w:rPr>
          <w:rFonts w:hint="eastAsia" w:ascii="宋体" w:hAnsi="宋体" w:eastAsia="方正仿宋简体" w:cs="方正仿宋简体"/>
          <w:color w:val="auto"/>
          <w:sz w:val="34"/>
          <w:szCs w:val="34"/>
        </w:rPr>
        <w:t>1.博士</w:t>
      </w:r>
      <w:r>
        <w:rPr>
          <w:rFonts w:hint="eastAsia" w:ascii="宋体" w:hAnsi="宋体" w:eastAsia="方正仿宋简体" w:cs="方正仿宋简体"/>
          <w:color w:val="auto"/>
          <w:sz w:val="34"/>
          <w:szCs w:val="34"/>
          <w:lang w:eastAsia="zh-CN"/>
        </w:rPr>
        <w:t>研究生</w:t>
      </w:r>
      <w:r>
        <w:rPr>
          <w:rFonts w:hint="eastAsia" w:ascii="宋体" w:hAnsi="宋体" w:eastAsia="方正仿宋简体" w:cs="方正仿宋简体"/>
          <w:color w:val="auto"/>
          <w:sz w:val="34"/>
          <w:szCs w:val="34"/>
        </w:rPr>
        <w:t>。</w:t>
      </w:r>
    </w:p>
    <w:p w14:paraId="61B43525">
      <w:pPr>
        <w:keepNext w:val="0"/>
        <w:keepLines w:val="0"/>
        <w:pageBreakBefore w:val="0"/>
        <w:widowControl w:val="0"/>
        <w:kinsoku/>
        <w:wordWrap/>
        <w:overflowPunct w:val="0"/>
        <w:topLinePunct w:val="0"/>
        <w:autoSpaceDE/>
        <w:autoSpaceDN/>
        <w:bidi w:val="0"/>
        <w:adjustRightInd/>
        <w:snapToGrid/>
        <w:spacing w:line="600" w:lineRule="exact"/>
        <w:ind w:left="0" w:leftChars="0" w:firstLine="680" w:firstLineChars="200"/>
        <w:textAlignment w:val="auto"/>
        <w:rPr>
          <w:rFonts w:ascii="宋体" w:hAnsi="宋体" w:eastAsia="方正仿宋简体" w:cs="方正仿宋简体"/>
          <w:color w:val="auto"/>
          <w:sz w:val="34"/>
          <w:szCs w:val="34"/>
        </w:rPr>
      </w:pPr>
      <w:r>
        <w:rPr>
          <w:rFonts w:hint="eastAsia" w:ascii="宋体" w:hAnsi="宋体" w:eastAsia="方正仿宋简体" w:cs="方正仿宋简体"/>
          <w:color w:val="auto"/>
          <w:sz w:val="34"/>
          <w:szCs w:val="34"/>
        </w:rPr>
        <w:t>2.具有正高级专业技术职称人员。</w:t>
      </w:r>
    </w:p>
    <w:p w14:paraId="735BD7D6">
      <w:pPr>
        <w:keepNext w:val="0"/>
        <w:keepLines w:val="0"/>
        <w:pageBreakBefore w:val="0"/>
        <w:widowControl w:val="0"/>
        <w:kinsoku/>
        <w:wordWrap/>
        <w:overflowPunct w:val="0"/>
        <w:topLinePunct w:val="0"/>
        <w:autoSpaceDE/>
        <w:autoSpaceDN/>
        <w:bidi w:val="0"/>
        <w:adjustRightInd/>
        <w:snapToGrid/>
        <w:spacing w:line="600" w:lineRule="exact"/>
        <w:ind w:left="0" w:leftChars="0" w:firstLine="680" w:firstLineChars="200"/>
        <w:textAlignment w:val="auto"/>
        <w:rPr>
          <w:rFonts w:hint="eastAsia" w:ascii="宋体" w:hAnsi="宋体" w:eastAsia="方正仿宋简体" w:cs="方正仿宋简体"/>
          <w:b w:val="0"/>
          <w:bCs w:val="0"/>
          <w:color w:val="auto"/>
          <w:sz w:val="34"/>
          <w:szCs w:val="34"/>
          <w:shd w:val="clear" w:color="auto" w:fill="auto"/>
        </w:rPr>
      </w:pPr>
      <w:r>
        <w:rPr>
          <w:rFonts w:hint="eastAsia" w:ascii="宋体" w:hAnsi="宋体" w:eastAsia="方正仿宋简体" w:cs="方正仿宋简体"/>
          <w:b w:val="0"/>
          <w:bCs w:val="0"/>
          <w:color w:val="auto"/>
          <w:sz w:val="34"/>
          <w:szCs w:val="34"/>
          <w:shd w:val="clear" w:color="auto" w:fill="auto"/>
        </w:rPr>
        <w:t>3.毕业于《优秀大学毕业生高校名单》高校全日制硕士研究生（本科阶段须为全日制）。</w:t>
      </w:r>
    </w:p>
    <w:p w14:paraId="74EF98F9">
      <w:pPr>
        <w:keepNext w:val="0"/>
        <w:keepLines w:val="0"/>
        <w:pageBreakBefore w:val="0"/>
        <w:widowControl w:val="0"/>
        <w:kinsoku/>
        <w:wordWrap/>
        <w:overflowPunct w:val="0"/>
        <w:topLinePunct w:val="0"/>
        <w:autoSpaceDE/>
        <w:autoSpaceDN/>
        <w:bidi w:val="0"/>
        <w:adjustRightInd/>
        <w:snapToGrid/>
        <w:spacing w:line="600" w:lineRule="exact"/>
        <w:ind w:left="0" w:leftChars="0" w:firstLine="680" w:firstLineChars="200"/>
        <w:textAlignment w:val="auto"/>
        <w:rPr>
          <w:rFonts w:hint="eastAsia" w:ascii="宋体" w:hAnsi="宋体" w:eastAsia="方正仿宋简体" w:cs="方正仿宋简体"/>
          <w:b w:val="0"/>
          <w:bCs w:val="0"/>
          <w:color w:val="auto"/>
          <w:sz w:val="34"/>
          <w:szCs w:val="34"/>
          <w:shd w:val="clear" w:color="auto" w:fill="auto"/>
        </w:rPr>
      </w:pPr>
      <w:r>
        <w:rPr>
          <w:rFonts w:hint="eastAsia" w:ascii="宋体" w:hAnsi="宋体" w:eastAsia="方正仿宋简体" w:cs="方正仿宋简体"/>
          <w:b w:val="0"/>
          <w:bCs w:val="0"/>
          <w:color w:val="auto"/>
          <w:sz w:val="34"/>
          <w:szCs w:val="34"/>
          <w:shd w:val="clear" w:color="auto" w:fill="auto"/>
        </w:rPr>
        <w:t>4.毕业于其他高校全日制硕士研究生（全日制本科阶段须毕业于《优秀大学毕业生高校名单》高校）。</w:t>
      </w:r>
    </w:p>
    <w:p w14:paraId="7862C599">
      <w:pPr>
        <w:keepNext w:val="0"/>
        <w:keepLines w:val="0"/>
        <w:pageBreakBefore w:val="0"/>
        <w:widowControl w:val="0"/>
        <w:kinsoku/>
        <w:wordWrap/>
        <w:overflowPunct w:val="0"/>
        <w:topLinePunct w:val="0"/>
        <w:autoSpaceDE/>
        <w:autoSpaceDN/>
        <w:bidi w:val="0"/>
        <w:adjustRightInd/>
        <w:snapToGrid/>
        <w:spacing w:line="600" w:lineRule="exact"/>
        <w:ind w:left="0" w:leftChars="0" w:firstLine="680" w:firstLineChars="200"/>
        <w:textAlignment w:val="auto"/>
        <w:rPr>
          <w:rFonts w:hint="eastAsia" w:ascii="宋体" w:hAnsi="宋体" w:eastAsia="方正仿宋简体" w:cs="方正仿宋简体"/>
          <w:color w:val="auto"/>
          <w:sz w:val="34"/>
          <w:szCs w:val="34"/>
        </w:rPr>
      </w:pPr>
      <w:r>
        <w:rPr>
          <w:rFonts w:hint="eastAsia" w:ascii="宋体" w:hAnsi="宋体" w:eastAsia="方正仿宋简体" w:cs="方正仿宋简体"/>
          <w:color w:val="auto"/>
          <w:sz w:val="34"/>
          <w:szCs w:val="34"/>
        </w:rPr>
        <w:t>5.毕业于《优秀大学毕业生高校名单》国内Ⅰ类高校全日制本科生。</w:t>
      </w:r>
    </w:p>
    <w:p w14:paraId="61456527">
      <w:pPr>
        <w:keepNext w:val="0"/>
        <w:keepLines w:val="0"/>
        <w:pageBreakBefore w:val="0"/>
        <w:widowControl w:val="0"/>
        <w:kinsoku/>
        <w:wordWrap/>
        <w:overflowPunct w:val="0"/>
        <w:topLinePunct w:val="0"/>
        <w:autoSpaceDE/>
        <w:autoSpaceDN/>
        <w:bidi w:val="0"/>
        <w:adjustRightInd/>
        <w:snapToGrid/>
        <w:spacing w:line="600" w:lineRule="exact"/>
        <w:ind w:left="0" w:leftChars="0" w:firstLine="680" w:firstLineChars="200"/>
        <w:textAlignment w:val="auto"/>
        <w:rPr>
          <w:rFonts w:hint="eastAsia" w:ascii="宋体" w:hAnsi="宋体" w:eastAsia="方正仿宋简体" w:cs="方正仿宋简体"/>
          <w:color w:val="auto"/>
          <w:sz w:val="34"/>
          <w:szCs w:val="34"/>
          <w:u w:val="none"/>
        </w:rPr>
      </w:pPr>
      <w:r>
        <w:rPr>
          <w:rFonts w:hint="eastAsia" w:ascii="宋体" w:hAnsi="宋体" w:eastAsia="方正仿宋简体" w:cs="方正仿宋简体"/>
          <w:color w:val="auto"/>
          <w:sz w:val="34"/>
          <w:szCs w:val="34"/>
          <w:u w:val="none"/>
        </w:rPr>
        <w:t>6.毕业于《优秀大学毕业生高校名单》国内Ⅱ</w:t>
      </w:r>
      <w:r>
        <w:rPr>
          <w:rFonts w:hint="eastAsia" w:ascii="宋体" w:hAnsi="宋体" w:eastAsia="方正仿宋简体" w:cs="方正仿宋简体"/>
          <w:color w:val="auto"/>
          <w:sz w:val="34"/>
          <w:szCs w:val="34"/>
          <w:u w:val="none"/>
          <w:lang w:eastAsia="zh-CN"/>
        </w:rPr>
        <w:t>类和</w:t>
      </w:r>
      <w:r>
        <w:rPr>
          <w:rFonts w:hint="eastAsia" w:ascii="宋体" w:hAnsi="宋体" w:cs="宋体"/>
          <w:color w:val="auto"/>
          <w:sz w:val="34"/>
          <w:szCs w:val="34"/>
          <w:u w:val="none"/>
        </w:rPr>
        <w:t>Ⅲ</w:t>
      </w:r>
      <w:r>
        <w:rPr>
          <w:rFonts w:hint="eastAsia" w:ascii="宋体" w:hAnsi="宋体" w:eastAsia="方正仿宋简体" w:cs="方正仿宋简体"/>
          <w:color w:val="auto"/>
          <w:sz w:val="34"/>
          <w:szCs w:val="34"/>
          <w:u w:val="none"/>
        </w:rPr>
        <w:t>类高校</w:t>
      </w:r>
      <w:r>
        <w:rPr>
          <w:rFonts w:hint="eastAsia" w:ascii="宋体" w:hAnsi="宋体" w:eastAsia="方正仿宋简体" w:cs="方正仿宋简体"/>
          <w:color w:val="auto"/>
          <w:sz w:val="34"/>
          <w:szCs w:val="34"/>
          <w:u w:val="none"/>
          <w:lang w:eastAsia="zh-CN"/>
        </w:rPr>
        <w:t>的</w:t>
      </w:r>
      <w:r>
        <w:rPr>
          <w:rFonts w:hint="eastAsia" w:ascii="宋体" w:hAnsi="宋体" w:eastAsia="方正仿宋简体" w:cs="方正仿宋简体"/>
          <w:color w:val="auto"/>
          <w:sz w:val="34"/>
          <w:szCs w:val="34"/>
          <w:u w:val="none"/>
        </w:rPr>
        <w:t>“双一流”建设学科全日制本科生（不</w:t>
      </w:r>
      <w:r>
        <w:rPr>
          <w:rFonts w:hint="eastAsia" w:ascii="宋体" w:hAnsi="宋体" w:eastAsia="方正仿宋简体" w:cs="方正仿宋简体"/>
          <w:color w:val="auto"/>
          <w:sz w:val="34"/>
          <w:szCs w:val="34"/>
          <w:u w:val="none"/>
          <w:lang w:eastAsia="zh-CN"/>
        </w:rPr>
        <w:t>适用</w:t>
      </w:r>
      <w:r>
        <w:rPr>
          <w:rFonts w:hint="eastAsia" w:ascii="宋体" w:hAnsi="宋体" w:eastAsia="方正仿宋简体" w:cs="方正仿宋简体"/>
          <w:color w:val="auto"/>
          <w:sz w:val="34"/>
          <w:szCs w:val="34"/>
          <w:u w:val="none"/>
        </w:rPr>
        <w:t>三级甲等公立医院）。</w:t>
      </w:r>
    </w:p>
    <w:p w14:paraId="44E9B934">
      <w:pPr>
        <w:keepNext w:val="0"/>
        <w:keepLines w:val="0"/>
        <w:pageBreakBefore w:val="0"/>
        <w:widowControl w:val="0"/>
        <w:kinsoku/>
        <w:wordWrap/>
        <w:overflowPunct w:val="0"/>
        <w:topLinePunct w:val="0"/>
        <w:autoSpaceDE/>
        <w:autoSpaceDN/>
        <w:bidi w:val="0"/>
        <w:adjustRightInd/>
        <w:snapToGrid/>
        <w:spacing w:line="600" w:lineRule="exact"/>
        <w:ind w:left="0" w:leftChars="0" w:firstLine="680" w:firstLineChars="200"/>
        <w:textAlignment w:val="auto"/>
        <w:rPr>
          <w:rFonts w:hint="eastAsia" w:ascii="宋体" w:hAnsi="宋体" w:eastAsia="方正仿宋简体" w:cs="方正仿宋简体"/>
          <w:color w:val="auto"/>
          <w:sz w:val="34"/>
          <w:szCs w:val="34"/>
          <w:u w:val="none"/>
        </w:rPr>
      </w:pPr>
      <w:r>
        <w:rPr>
          <w:rFonts w:hint="eastAsia" w:ascii="宋体" w:hAnsi="宋体" w:eastAsia="方正仿宋简体" w:cs="方正仿宋简体"/>
          <w:color w:val="auto"/>
          <w:sz w:val="34"/>
          <w:szCs w:val="34"/>
          <w:u w:val="none"/>
        </w:rPr>
        <w:t>7.毕业于《优秀大学毕业生高校名单》国内Ⅱ类高校</w:t>
      </w:r>
      <w:r>
        <w:rPr>
          <w:rFonts w:hint="eastAsia" w:ascii="宋体" w:hAnsi="宋体" w:eastAsia="方正仿宋简体" w:cs="方正仿宋简体"/>
          <w:color w:val="auto"/>
          <w:sz w:val="34"/>
          <w:szCs w:val="34"/>
          <w:u w:val="none"/>
          <w:lang w:eastAsia="zh-CN"/>
        </w:rPr>
        <w:t>师范类专业</w:t>
      </w:r>
      <w:r>
        <w:rPr>
          <w:rFonts w:hint="eastAsia" w:ascii="宋体" w:hAnsi="宋体" w:eastAsia="方正仿宋简体" w:cs="方正仿宋简体"/>
          <w:color w:val="auto"/>
          <w:sz w:val="34"/>
          <w:szCs w:val="34"/>
          <w:u w:val="none"/>
          <w:lang w:val="en-US" w:eastAsia="zh-CN"/>
        </w:rPr>
        <w:t>和</w:t>
      </w:r>
      <w:r>
        <w:rPr>
          <w:rFonts w:hint="eastAsia" w:ascii="宋体" w:hAnsi="宋体" w:eastAsia="方正仿宋简体" w:cs="方正仿宋简体"/>
          <w:color w:val="auto"/>
          <w:sz w:val="34"/>
          <w:szCs w:val="34"/>
          <w:u w:val="none"/>
        </w:rPr>
        <w:t>国内Ⅲ类</w:t>
      </w:r>
      <w:r>
        <w:rPr>
          <w:rFonts w:hint="eastAsia" w:ascii="宋体" w:hAnsi="宋体" w:eastAsia="方正仿宋简体" w:cs="方正仿宋简体"/>
          <w:color w:val="auto"/>
          <w:sz w:val="34"/>
          <w:szCs w:val="34"/>
          <w:u w:val="none"/>
          <w:lang w:eastAsia="zh-CN"/>
        </w:rPr>
        <w:t>、Ⅳ</w:t>
      </w:r>
      <w:r>
        <w:rPr>
          <w:rFonts w:hint="eastAsia" w:ascii="宋体" w:hAnsi="宋体" w:eastAsia="方正仿宋简体" w:cs="方正仿宋简体"/>
          <w:color w:val="auto"/>
          <w:sz w:val="34"/>
          <w:szCs w:val="34"/>
          <w:u w:val="none"/>
          <w:lang w:val="en-US" w:eastAsia="zh-CN"/>
        </w:rPr>
        <w:t>类</w:t>
      </w:r>
      <w:r>
        <w:rPr>
          <w:rFonts w:hint="eastAsia" w:ascii="宋体" w:hAnsi="宋体" w:eastAsia="方正仿宋简体" w:cs="方正仿宋简体"/>
          <w:color w:val="auto"/>
          <w:sz w:val="34"/>
          <w:szCs w:val="34"/>
          <w:u w:val="none"/>
        </w:rPr>
        <w:t>高校中美术</w:t>
      </w:r>
      <w:r>
        <w:rPr>
          <w:rFonts w:hint="eastAsia" w:ascii="宋体" w:hAnsi="宋体" w:eastAsia="方正仿宋简体" w:cs="方正仿宋简体"/>
          <w:color w:val="auto"/>
          <w:sz w:val="34"/>
          <w:szCs w:val="34"/>
          <w:u w:val="none"/>
          <w:lang w:eastAsia="zh-CN"/>
        </w:rPr>
        <w:t>、</w:t>
      </w:r>
      <w:r>
        <w:rPr>
          <w:rFonts w:hint="eastAsia" w:ascii="宋体" w:hAnsi="宋体" w:eastAsia="方正仿宋简体" w:cs="方正仿宋简体"/>
          <w:color w:val="auto"/>
          <w:sz w:val="34"/>
          <w:szCs w:val="34"/>
          <w:u w:val="none"/>
        </w:rPr>
        <w:t>音乐、体育类高校</w:t>
      </w:r>
      <w:r>
        <w:rPr>
          <w:rFonts w:hint="eastAsia" w:ascii="宋体" w:hAnsi="宋体" w:eastAsia="方正仿宋简体" w:cs="方正仿宋简体"/>
          <w:color w:val="auto"/>
          <w:sz w:val="34"/>
          <w:szCs w:val="34"/>
          <w:u w:val="none"/>
          <w:lang w:eastAsia="zh-CN"/>
        </w:rPr>
        <w:t>（</w:t>
      </w:r>
      <w:r>
        <w:rPr>
          <w:rFonts w:hint="eastAsia" w:ascii="宋体" w:hAnsi="宋体" w:eastAsia="方正仿宋简体" w:cs="方正仿宋简体"/>
          <w:color w:val="auto"/>
          <w:sz w:val="34"/>
          <w:szCs w:val="34"/>
          <w:u w:val="none"/>
          <w:lang w:val="en-US" w:eastAsia="zh-CN"/>
        </w:rPr>
        <w:t>专业范围分别为美术学类、音乐与舞蹈学类、体育学类</w:t>
      </w:r>
      <w:r>
        <w:rPr>
          <w:rFonts w:hint="eastAsia" w:ascii="宋体" w:hAnsi="宋体" w:eastAsia="方正仿宋简体" w:cs="方正仿宋简体"/>
          <w:color w:val="auto"/>
          <w:sz w:val="34"/>
          <w:szCs w:val="34"/>
          <w:u w:val="none"/>
          <w:lang w:eastAsia="zh-CN"/>
        </w:rPr>
        <w:t>）</w:t>
      </w:r>
      <w:r>
        <w:rPr>
          <w:rFonts w:hint="eastAsia" w:ascii="宋体" w:hAnsi="宋体" w:eastAsia="方正仿宋简体" w:cs="方正仿宋简体"/>
          <w:color w:val="auto"/>
          <w:sz w:val="34"/>
          <w:szCs w:val="34"/>
          <w:u w:val="none"/>
        </w:rPr>
        <w:t>全日制本科生（只限于引进教师）。</w:t>
      </w:r>
    </w:p>
    <w:p w14:paraId="1EEF19E5">
      <w:pPr>
        <w:keepNext w:val="0"/>
        <w:keepLines w:val="0"/>
        <w:pageBreakBefore w:val="0"/>
        <w:widowControl w:val="0"/>
        <w:kinsoku/>
        <w:wordWrap/>
        <w:overflowPunct w:val="0"/>
        <w:topLinePunct w:val="0"/>
        <w:autoSpaceDE/>
        <w:autoSpaceDN/>
        <w:bidi w:val="0"/>
        <w:adjustRightInd/>
        <w:snapToGrid/>
        <w:spacing w:line="600" w:lineRule="exact"/>
        <w:ind w:left="0" w:leftChars="0" w:firstLine="680" w:firstLineChars="200"/>
        <w:textAlignment w:val="auto"/>
        <w:rPr>
          <w:rFonts w:ascii="宋体" w:hAnsi="宋体" w:eastAsia="方正仿宋简体" w:cs="方正仿宋简体"/>
          <w:color w:val="auto"/>
          <w:sz w:val="34"/>
          <w:szCs w:val="34"/>
        </w:rPr>
      </w:pPr>
      <w:r>
        <w:rPr>
          <w:rFonts w:hint="eastAsia" w:ascii="宋体" w:hAnsi="宋体" w:eastAsia="方正仿宋简体" w:cs="方正仿宋简体"/>
          <w:color w:val="auto"/>
          <w:sz w:val="34"/>
          <w:szCs w:val="34"/>
        </w:rPr>
        <w:t>8.具有副高级专业技术职称人员（须为全日制本科学历）。</w:t>
      </w:r>
    </w:p>
    <w:p w14:paraId="60CCFE6D">
      <w:pPr>
        <w:keepNext w:val="0"/>
        <w:keepLines w:val="0"/>
        <w:pageBreakBefore w:val="0"/>
        <w:widowControl w:val="0"/>
        <w:kinsoku/>
        <w:wordWrap/>
        <w:overflowPunct w:val="0"/>
        <w:topLinePunct w:val="0"/>
        <w:autoSpaceDE/>
        <w:autoSpaceDN/>
        <w:bidi w:val="0"/>
        <w:adjustRightInd/>
        <w:snapToGrid/>
        <w:spacing w:line="600" w:lineRule="exact"/>
        <w:ind w:left="0" w:leftChars="0" w:firstLine="680" w:firstLineChars="200"/>
        <w:textAlignment w:val="auto"/>
        <w:rPr>
          <w:rFonts w:hint="eastAsia" w:ascii="宋体" w:hAnsi="宋体" w:eastAsia="黑体" w:cs="黑体"/>
          <w:color w:val="auto"/>
          <w:sz w:val="34"/>
          <w:szCs w:val="34"/>
        </w:rPr>
      </w:pPr>
      <w:r>
        <w:rPr>
          <w:rFonts w:hint="eastAsia" w:ascii="宋体" w:hAnsi="宋体" w:eastAsia="黑体" w:cs="黑体"/>
          <w:color w:val="auto"/>
          <w:sz w:val="34"/>
          <w:szCs w:val="34"/>
        </w:rPr>
        <w:t>二、阳江职业技术学院</w:t>
      </w:r>
    </w:p>
    <w:p w14:paraId="715F4B5C">
      <w:pPr>
        <w:keepNext w:val="0"/>
        <w:keepLines w:val="0"/>
        <w:pageBreakBefore w:val="0"/>
        <w:widowControl w:val="0"/>
        <w:kinsoku/>
        <w:wordWrap/>
        <w:overflowPunct w:val="0"/>
        <w:topLinePunct w:val="0"/>
        <w:autoSpaceDE/>
        <w:autoSpaceDN/>
        <w:bidi w:val="0"/>
        <w:adjustRightInd/>
        <w:snapToGrid/>
        <w:spacing w:line="600" w:lineRule="exact"/>
        <w:ind w:left="0" w:leftChars="0" w:firstLine="680" w:firstLineChars="200"/>
        <w:textAlignment w:val="auto"/>
        <w:rPr>
          <w:rFonts w:hint="eastAsia" w:ascii="宋体" w:hAnsi="宋体" w:eastAsia="方正仿宋简体" w:cs="方正仿宋简体"/>
          <w:color w:val="auto"/>
          <w:sz w:val="34"/>
          <w:szCs w:val="34"/>
          <w:u w:val="none"/>
        </w:rPr>
      </w:pPr>
      <w:r>
        <w:rPr>
          <w:rFonts w:hint="eastAsia" w:ascii="宋体" w:hAnsi="宋体" w:eastAsia="方正仿宋简体" w:cs="方正仿宋简体"/>
          <w:color w:val="auto"/>
          <w:sz w:val="34"/>
          <w:szCs w:val="34"/>
          <w:u w:val="none"/>
        </w:rPr>
        <w:t>1.博士</w:t>
      </w:r>
      <w:r>
        <w:rPr>
          <w:rFonts w:hint="eastAsia" w:ascii="宋体" w:hAnsi="宋体" w:eastAsia="方正仿宋简体" w:cs="方正仿宋简体"/>
          <w:color w:val="auto"/>
          <w:sz w:val="34"/>
          <w:szCs w:val="34"/>
          <w:u w:val="none"/>
          <w:lang w:eastAsia="zh-CN"/>
        </w:rPr>
        <w:t>研究生（全日制硕士研究生阶段或全日制本科阶段须毕业于《优秀大学毕业生高校名单》高校）</w:t>
      </w:r>
      <w:r>
        <w:rPr>
          <w:rFonts w:hint="eastAsia" w:ascii="宋体" w:hAnsi="宋体" w:eastAsia="方正仿宋简体" w:cs="方正仿宋简体"/>
          <w:color w:val="auto"/>
          <w:sz w:val="34"/>
          <w:szCs w:val="34"/>
          <w:u w:val="none"/>
        </w:rPr>
        <w:t>。</w:t>
      </w:r>
    </w:p>
    <w:p w14:paraId="0F7173EE">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80" w:firstLineChars="200"/>
        <w:textAlignment w:val="auto"/>
        <w:rPr>
          <w:rFonts w:hint="eastAsia" w:ascii="宋体" w:hAnsi="宋体" w:eastAsia="方正仿宋简体" w:cs="方正仿宋简体"/>
          <w:color w:val="auto"/>
          <w:sz w:val="34"/>
          <w:szCs w:val="34"/>
          <w:u w:val="none"/>
        </w:rPr>
      </w:pPr>
      <w:r>
        <w:rPr>
          <w:rFonts w:hint="eastAsia" w:ascii="宋体" w:hAnsi="宋体" w:eastAsia="方正仿宋简体" w:cs="方正仿宋简体"/>
          <w:color w:val="auto"/>
          <w:sz w:val="34"/>
          <w:szCs w:val="34"/>
          <w:u w:val="none"/>
          <w:lang w:val="en-US" w:eastAsia="zh-CN"/>
        </w:rPr>
        <w:t>2</w:t>
      </w:r>
      <w:r>
        <w:rPr>
          <w:rFonts w:hint="eastAsia" w:ascii="宋体" w:hAnsi="宋体" w:eastAsia="方正仿宋简体" w:cs="方正仿宋简体"/>
          <w:color w:val="auto"/>
          <w:sz w:val="34"/>
          <w:szCs w:val="34"/>
          <w:u w:val="none"/>
        </w:rPr>
        <w:t>.具有正高级专业技术职称人员。</w:t>
      </w:r>
    </w:p>
    <w:p w14:paraId="0691745F">
      <w:pPr>
        <w:pStyle w:val="2"/>
        <w:keepNext w:val="0"/>
        <w:keepLines w:val="0"/>
        <w:pageBreakBefore w:val="0"/>
        <w:widowControl w:val="0"/>
        <w:kinsoku/>
        <w:wordWrap/>
        <w:topLinePunct w:val="0"/>
        <w:autoSpaceDE/>
        <w:autoSpaceDN/>
        <w:bidi w:val="0"/>
        <w:adjustRightInd/>
        <w:snapToGrid/>
        <w:spacing w:after="0" w:afterLines="0" w:line="600" w:lineRule="exact"/>
        <w:ind w:firstLine="680" w:firstLineChars="200"/>
        <w:textAlignment w:val="auto"/>
        <w:rPr>
          <w:rFonts w:hint="eastAsia" w:ascii="宋体" w:hAnsi="宋体" w:eastAsia="方正仿宋简体" w:cs="方正仿宋简体"/>
          <w:color w:val="auto"/>
          <w:sz w:val="34"/>
          <w:szCs w:val="34"/>
          <w:u w:val="none"/>
        </w:rPr>
      </w:pPr>
      <w:r>
        <w:rPr>
          <w:rFonts w:hint="eastAsia" w:ascii="宋体" w:hAnsi="宋体" w:eastAsia="方正仿宋简体" w:cs="方正仿宋简体"/>
          <w:color w:val="auto"/>
          <w:sz w:val="34"/>
          <w:szCs w:val="34"/>
          <w:u w:val="none"/>
          <w:lang w:val="en-US" w:eastAsia="zh-CN"/>
        </w:rPr>
        <w:t>3</w:t>
      </w:r>
      <w:r>
        <w:rPr>
          <w:rFonts w:hint="eastAsia" w:ascii="宋体" w:hAnsi="宋体" w:eastAsia="方正仿宋简体" w:cs="方正仿宋简体"/>
          <w:color w:val="auto"/>
          <w:sz w:val="34"/>
          <w:szCs w:val="34"/>
          <w:u w:val="none"/>
        </w:rPr>
        <w:t>.毕业于《优秀大学毕业生高校名单》国内Ⅰ类</w:t>
      </w:r>
      <w:r>
        <w:rPr>
          <w:rFonts w:hint="default" w:ascii="宋体" w:hAnsi="宋体" w:cs="方正仿宋简体"/>
          <w:color w:val="auto"/>
          <w:sz w:val="34"/>
          <w:szCs w:val="34"/>
          <w:u w:val="none"/>
          <w:lang w:val="en"/>
        </w:rPr>
        <w:t>、</w:t>
      </w:r>
      <w:r>
        <w:rPr>
          <w:rFonts w:hint="eastAsia" w:ascii="宋体" w:hAnsi="宋体" w:eastAsia="方正仿宋简体" w:cs="方正仿宋简体"/>
          <w:b w:val="0"/>
          <w:bCs w:val="0"/>
          <w:color w:val="auto"/>
          <w:sz w:val="34"/>
          <w:szCs w:val="34"/>
          <w:u w:val="none"/>
        </w:rPr>
        <w:t>Ⅱ</w:t>
      </w:r>
      <w:r>
        <w:rPr>
          <w:rFonts w:hint="eastAsia" w:ascii="宋体" w:hAnsi="宋体" w:eastAsia="方正仿宋简体" w:cs="方正仿宋简体"/>
          <w:b w:val="0"/>
          <w:bCs w:val="0"/>
          <w:color w:val="auto"/>
          <w:sz w:val="34"/>
          <w:szCs w:val="34"/>
          <w:u w:val="none"/>
          <w:lang w:eastAsia="zh-CN"/>
        </w:rPr>
        <w:t>类</w:t>
      </w:r>
      <w:r>
        <w:rPr>
          <w:rFonts w:hint="eastAsia" w:ascii="宋体" w:hAnsi="宋体" w:eastAsia="方正仿宋简体" w:cs="方正仿宋简体"/>
          <w:b w:val="0"/>
          <w:bCs w:val="0"/>
          <w:color w:val="auto"/>
          <w:sz w:val="34"/>
          <w:szCs w:val="34"/>
          <w:u w:val="none"/>
        </w:rPr>
        <w:t>高校</w:t>
      </w:r>
      <w:r>
        <w:rPr>
          <w:rFonts w:hint="eastAsia" w:ascii="宋体" w:hAnsi="宋体" w:eastAsia="方正仿宋简体" w:cs="方正仿宋简体"/>
          <w:b w:val="0"/>
          <w:bCs w:val="0"/>
          <w:color w:val="auto"/>
          <w:sz w:val="34"/>
          <w:szCs w:val="34"/>
          <w:u w:val="none"/>
          <w:lang w:eastAsia="zh-CN"/>
        </w:rPr>
        <w:t>或</w:t>
      </w:r>
      <w:r>
        <w:rPr>
          <w:rFonts w:hint="eastAsia" w:ascii="宋体" w:hAnsi="宋体" w:eastAsia="方正仿宋简体" w:cs="方正仿宋简体"/>
          <w:b w:val="0"/>
          <w:bCs w:val="0"/>
          <w:color w:val="auto"/>
          <w:sz w:val="34"/>
          <w:szCs w:val="34"/>
          <w:u w:val="none"/>
        </w:rPr>
        <w:t>境外优秀高校</w:t>
      </w:r>
      <w:r>
        <w:rPr>
          <w:rFonts w:hint="eastAsia" w:ascii="宋体" w:hAnsi="宋体" w:eastAsia="方正仿宋简体" w:cs="方正仿宋简体"/>
          <w:color w:val="auto"/>
          <w:sz w:val="34"/>
          <w:szCs w:val="34"/>
          <w:u w:val="none"/>
          <w:lang w:eastAsia="zh-CN"/>
        </w:rPr>
        <w:t>的</w:t>
      </w:r>
      <w:r>
        <w:rPr>
          <w:rFonts w:hint="eastAsia" w:ascii="宋体" w:hAnsi="宋体" w:eastAsia="方正仿宋简体" w:cs="方正仿宋简体"/>
          <w:b w:val="0"/>
          <w:bCs w:val="0"/>
          <w:color w:val="auto"/>
          <w:sz w:val="34"/>
          <w:szCs w:val="34"/>
          <w:u w:val="none"/>
          <w:lang w:eastAsia="zh-CN"/>
        </w:rPr>
        <w:t>全日制硕士研究生</w:t>
      </w:r>
      <w:r>
        <w:rPr>
          <w:rFonts w:hint="eastAsia" w:ascii="宋体" w:hAnsi="宋体" w:eastAsia="方正仿宋简体" w:cs="方正仿宋简体"/>
          <w:color w:val="auto"/>
          <w:sz w:val="34"/>
          <w:szCs w:val="34"/>
        </w:rPr>
        <w:t>（本科阶段须为全日制）</w:t>
      </w:r>
      <w:r>
        <w:rPr>
          <w:rFonts w:hint="eastAsia" w:ascii="宋体" w:hAnsi="宋体" w:eastAsia="方正仿宋简体" w:cs="方正仿宋简体"/>
          <w:color w:val="auto"/>
          <w:sz w:val="34"/>
          <w:szCs w:val="34"/>
          <w:u w:val="none"/>
        </w:rPr>
        <w:t>。</w:t>
      </w:r>
    </w:p>
    <w:p w14:paraId="4895CCF2">
      <w:pPr>
        <w:keepNext w:val="0"/>
        <w:keepLines w:val="0"/>
        <w:pageBreakBefore w:val="0"/>
        <w:widowControl w:val="0"/>
        <w:kinsoku/>
        <w:wordWrap/>
        <w:overflowPunct w:val="0"/>
        <w:topLinePunct w:val="0"/>
        <w:autoSpaceDE/>
        <w:autoSpaceDN/>
        <w:bidi w:val="0"/>
        <w:adjustRightInd/>
        <w:snapToGrid/>
        <w:spacing w:line="600" w:lineRule="exact"/>
        <w:ind w:left="0" w:leftChars="0" w:firstLine="680" w:firstLineChars="200"/>
        <w:textAlignment w:val="auto"/>
        <w:rPr>
          <w:rFonts w:hint="eastAsia" w:ascii="宋体" w:hAnsi="宋体" w:eastAsia="方正仿宋简体" w:cs="方正仿宋简体"/>
          <w:color w:val="auto"/>
          <w:sz w:val="34"/>
          <w:szCs w:val="34"/>
          <w:u w:val="none"/>
        </w:rPr>
      </w:pPr>
      <w:r>
        <w:rPr>
          <w:rFonts w:hint="eastAsia" w:ascii="宋体" w:hAnsi="宋体" w:eastAsia="方正仿宋简体" w:cs="方正仿宋简体"/>
          <w:color w:val="auto"/>
          <w:sz w:val="34"/>
          <w:szCs w:val="34"/>
          <w:u w:val="none"/>
          <w:lang w:val="en-US" w:eastAsia="zh-CN"/>
        </w:rPr>
        <w:t>4</w:t>
      </w:r>
      <w:r>
        <w:rPr>
          <w:rFonts w:hint="eastAsia" w:ascii="宋体" w:hAnsi="宋体" w:eastAsia="方正仿宋简体" w:cs="方正仿宋简体"/>
          <w:color w:val="auto"/>
          <w:sz w:val="34"/>
          <w:szCs w:val="34"/>
          <w:u w:val="none"/>
        </w:rPr>
        <w:t>.具有副高级专业技术职称人员（</w:t>
      </w:r>
      <w:r>
        <w:rPr>
          <w:rFonts w:hint="eastAsia" w:ascii="宋体" w:hAnsi="宋体" w:eastAsia="方正仿宋简体" w:cs="方正仿宋简体"/>
          <w:color w:val="auto"/>
          <w:sz w:val="34"/>
          <w:szCs w:val="34"/>
          <w:u w:val="none"/>
          <w:lang w:val="en-US" w:eastAsia="zh-CN"/>
        </w:rPr>
        <w:t>须具有硕士学位，且全日制本科阶段或硕士研究生阶段毕业于《优秀大学毕业生高校名单》高校</w:t>
      </w:r>
      <w:r>
        <w:rPr>
          <w:rFonts w:hint="eastAsia" w:ascii="宋体" w:hAnsi="宋体" w:eastAsia="方正仿宋简体" w:cs="方正仿宋简体"/>
          <w:color w:val="auto"/>
          <w:sz w:val="34"/>
          <w:szCs w:val="34"/>
          <w:u w:val="none"/>
        </w:rPr>
        <w:t>）。</w:t>
      </w:r>
    </w:p>
    <w:p w14:paraId="2373DE5C">
      <w:pPr>
        <w:keepNext w:val="0"/>
        <w:keepLines w:val="0"/>
        <w:pageBreakBefore w:val="0"/>
        <w:widowControl w:val="0"/>
        <w:kinsoku/>
        <w:wordWrap/>
        <w:overflowPunct w:val="0"/>
        <w:topLinePunct w:val="0"/>
        <w:autoSpaceDE/>
        <w:autoSpaceDN/>
        <w:bidi w:val="0"/>
        <w:adjustRightInd/>
        <w:snapToGrid/>
        <w:spacing w:line="600" w:lineRule="exact"/>
        <w:ind w:left="0" w:leftChars="0" w:firstLine="680" w:firstLineChars="200"/>
        <w:textAlignment w:val="auto"/>
        <w:rPr>
          <w:rFonts w:hint="eastAsia" w:ascii="宋体" w:hAnsi="宋体" w:eastAsia="黑体" w:cs="黑体"/>
          <w:color w:val="auto"/>
          <w:sz w:val="34"/>
          <w:szCs w:val="34"/>
          <w:u w:val="none"/>
        </w:rPr>
      </w:pPr>
      <w:r>
        <w:rPr>
          <w:rFonts w:hint="eastAsia" w:ascii="宋体" w:hAnsi="宋体" w:eastAsia="黑体" w:cs="黑体"/>
          <w:color w:val="auto"/>
          <w:sz w:val="34"/>
          <w:szCs w:val="34"/>
          <w:u w:val="none"/>
        </w:rPr>
        <w:t>三、县级及以下事业单位</w:t>
      </w:r>
    </w:p>
    <w:p w14:paraId="1CD77EBB">
      <w:pPr>
        <w:keepNext w:val="0"/>
        <w:keepLines w:val="0"/>
        <w:pageBreakBefore w:val="0"/>
        <w:widowControl w:val="0"/>
        <w:kinsoku/>
        <w:wordWrap/>
        <w:overflowPunct w:val="0"/>
        <w:topLinePunct w:val="0"/>
        <w:autoSpaceDE/>
        <w:autoSpaceDN/>
        <w:bidi w:val="0"/>
        <w:adjustRightInd/>
        <w:snapToGrid/>
        <w:spacing w:line="600" w:lineRule="exact"/>
        <w:ind w:left="0" w:leftChars="0" w:firstLine="680" w:firstLineChars="200"/>
        <w:textAlignment w:val="auto"/>
        <w:rPr>
          <w:rFonts w:hint="eastAsia" w:ascii="宋体" w:hAnsi="宋体" w:eastAsia="方正仿宋简体" w:cs="方正仿宋简体"/>
          <w:i w:val="0"/>
          <w:iCs w:val="0"/>
          <w:color w:val="auto"/>
          <w:sz w:val="34"/>
          <w:szCs w:val="34"/>
          <w:u w:val="none"/>
          <w:lang w:val="en-US" w:eastAsia="zh-CN"/>
        </w:rPr>
      </w:pPr>
      <w:r>
        <w:rPr>
          <w:rFonts w:hint="eastAsia" w:ascii="宋体" w:hAnsi="宋体" w:eastAsia="方正仿宋简体" w:cs="方正仿宋简体"/>
          <w:i w:val="0"/>
          <w:iCs w:val="0"/>
          <w:color w:val="auto"/>
          <w:sz w:val="34"/>
          <w:szCs w:val="34"/>
          <w:u w:val="none"/>
          <w:lang w:val="en-US" w:eastAsia="zh-CN"/>
        </w:rPr>
        <w:t>1.符合市直事业单位（不含阳江职业技术学院）人才目录。</w:t>
      </w:r>
    </w:p>
    <w:p w14:paraId="12D62B08">
      <w:pPr>
        <w:keepNext w:val="0"/>
        <w:keepLines w:val="0"/>
        <w:pageBreakBefore w:val="0"/>
        <w:widowControl w:val="0"/>
        <w:kinsoku/>
        <w:wordWrap/>
        <w:overflowPunct w:val="0"/>
        <w:topLinePunct w:val="0"/>
        <w:autoSpaceDE/>
        <w:autoSpaceDN/>
        <w:bidi w:val="0"/>
        <w:adjustRightInd/>
        <w:snapToGrid/>
        <w:spacing w:line="600" w:lineRule="exact"/>
        <w:ind w:left="0" w:leftChars="0" w:firstLine="680" w:firstLineChars="200"/>
        <w:textAlignment w:val="auto"/>
        <w:rPr>
          <w:rFonts w:hint="default" w:ascii="宋体" w:hAnsi="宋体" w:eastAsia="方正仿宋简体" w:cs="方正仿宋简体"/>
          <w:i w:val="0"/>
          <w:iCs w:val="0"/>
          <w:color w:val="auto"/>
          <w:sz w:val="34"/>
          <w:szCs w:val="34"/>
          <w:u w:val="none"/>
          <w:lang w:val="en-US" w:eastAsia="zh-CN"/>
        </w:rPr>
      </w:pPr>
      <w:r>
        <w:rPr>
          <w:rFonts w:hint="eastAsia" w:ascii="宋体" w:hAnsi="宋体" w:eastAsia="方正仿宋简体" w:cs="方正仿宋简体"/>
          <w:i w:val="0"/>
          <w:iCs w:val="0"/>
          <w:color w:val="auto"/>
          <w:sz w:val="34"/>
          <w:szCs w:val="34"/>
          <w:u w:val="none"/>
          <w:lang w:val="en-US" w:eastAsia="zh-CN"/>
        </w:rPr>
        <w:t>2.国内全日制硕士研究生（本科阶段须为全日制）。</w:t>
      </w:r>
    </w:p>
    <w:p w14:paraId="2D991A94">
      <w:pPr>
        <w:keepNext w:val="0"/>
        <w:keepLines w:val="0"/>
        <w:pageBreakBefore w:val="0"/>
        <w:widowControl w:val="0"/>
        <w:kinsoku/>
        <w:wordWrap/>
        <w:overflowPunct w:val="0"/>
        <w:topLinePunct w:val="0"/>
        <w:autoSpaceDE/>
        <w:autoSpaceDN/>
        <w:bidi w:val="0"/>
        <w:adjustRightInd/>
        <w:snapToGrid/>
        <w:spacing w:line="600" w:lineRule="exact"/>
        <w:ind w:left="0" w:leftChars="0" w:firstLine="680" w:firstLineChars="200"/>
        <w:textAlignment w:val="auto"/>
        <w:rPr>
          <w:rFonts w:hint="eastAsia" w:ascii="宋体" w:hAnsi="宋体" w:eastAsia="方正仿宋简体" w:cs="方正仿宋简体"/>
          <w:i w:val="0"/>
          <w:iCs w:val="0"/>
          <w:color w:val="auto"/>
          <w:sz w:val="34"/>
          <w:szCs w:val="34"/>
          <w:u w:val="none"/>
        </w:rPr>
      </w:pPr>
      <w:r>
        <w:rPr>
          <w:rFonts w:hint="eastAsia" w:ascii="宋体" w:hAnsi="宋体" w:eastAsia="方正仿宋简体" w:cs="方正仿宋简体"/>
          <w:i w:val="0"/>
          <w:iCs w:val="0"/>
          <w:color w:val="auto"/>
          <w:sz w:val="34"/>
          <w:szCs w:val="34"/>
          <w:u w:val="none"/>
          <w:lang w:val="en-US" w:eastAsia="zh-CN"/>
        </w:rPr>
        <w:t>3</w:t>
      </w:r>
      <w:r>
        <w:rPr>
          <w:rFonts w:hint="eastAsia" w:ascii="宋体" w:hAnsi="宋体" w:eastAsia="方正仿宋简体" w:cs="方正仿宋简体"/>
          <w:i w:val="0"/>
          <w:iCs w:val="0"/>
          <w:color w:val="auto"/>
          <w:sz w:val="34"/>
          <w:szCs w:val="34"/>
          <w:u w:val="none"/>
        </w:rPr>
        <w:t>.毕业于《优秀大学业生高校名单》国内Ⅱ类高校全日制本科生（不</w:t>
      </w:r>
      <w:r>
        <w:rPr>
          <w:rFonts w:hint="eastAsia" w:ascii="宋体" w:hAnsi="宋体" w:eastAsia="方正仿宋简体" w:cs="方正仿宋简体"/>
          <w:i w:val="0"/>
          <w:iCs w:val="0"/>
          <w:color w:val="auto"/>
          <w:sz w:val="34"/>
          <w:szCs w:val="34"/>
          <w:u w:val="none"/>
          <w:lang w:eastAsia="zh-CN"/>
        </w:rPr>
        <w:t>适用</w:t>
      </w:r>
      <w:r>
        <w:rPr>
          <w:rFonts w:hint="eastAsia" w:ascii="宋体" w:hAnsi="宋体" w:eastAsia="方正仿宋简体" w:cs="方正仿宋简体"/>
          <w:i w:val="0"/>
          <w:iCs w:val="0"/>
          <w:color w:val="auto"/>
          <w:sz w:val="34"/>
          <w:szCs w:val="34"/>
          <w:u w:val="none"/>
        </w:rPr>
        <w:t>三级甲等公立医院）。</w:t>
      </w:r>
    </w:p>
    <w:p w14:paraId="08B89086">
      <w:pPr>
        <w:keepNext w:val="0"/>
        <w:keepLines w:val="0"/>
        <w:pageBreakBefore w:val="0"/>
        <w:widowControl w:val="0"/>
        <w:kinsoku/>
        <w:wordWrap/>
        <w:overflowPunct w:val="0"/>
        <w:topLinePunct w:val="0"/>
        <w:autoSpaceDE/>
        <w:autoSpaceDN/>
        <w:bidi w:val="0"/>
        <w:adjustRightInd/>
        <w:snapToGrid/>
        <w:spacing w:line="600" w:lineRule="exact"/>
        <w:ind w:left="0" w:leftChars="0" w:firstLine="680" w:firstLineChars="200"/>
        <w:textAlignment w:val="auto"/>
        <w:rPr>
          <w:rFonts w:hint="eastAsia" w:ascii="宋体" w:hAnsi="宋体" w:eastAsia="方正仿宋简体" w:cs="方正仿宋简体"/>
          <w:color w:val="auto"/>
          <w:sz w:val="34"/>
          <w:szCs w:val="34"/>
          <w:u w:val="none"/>
        </w:rPr>
      </w:pPr>
      <w:r>
        <w:rPr>
          <w:rFonts w:hint="eastAsia" w:ascii="宋体" w:hAnsi="宋体" w:cs="方正仿宋简体"/>
          <w:color w:val="auto"/>
          <w:sz w:val="34"/>
          <w:szCs w:val="34"/>
          <w:u w:val="none"/>
          <w:lang w:val="en-US" w:eastAsia="zh-CN"/>
        </w:rPr>
        <w:t>4</w:t>
      </w:r>
      <w:r>
        <w:rPr>
          <w:rFonts w:hint="default" w:ascii="宋体" w:hAnsi="宋体" w:cs="方正仿宋简体"/>
          <w:color w:val="auto"/>
          <w:sz w:val="34"/>
          <w:szCs w:val="34"/>
          <w:u w:val="none"/>
          <w:lang w:val="en"/>
        </w:rPr>
        <w:t>.</w:t>
      </w:r>
      <w:r>
        <w:rPr>
          <w:rFonts w:hint="eastAsia" w:ascii="宋体" w:hAnsi="宋体" w:eastAsia="方正仿宋简体" w:cs="方正仿宋简体"/>
          <w:color w:val="auto"/>
          <w:sz w:val="34"/>
          <w:szCs w:val="34"/>
          <w:u w:val="none"/>
        </w:rPr>
        <w:t>毕业于《优秀大学毕业生高校名单》国内</w:t>
      </w:r>
      <w:r>
        <w:rPr>
          <w:rFonts w:hint="eastAsia" w:ascii="宋体" w:hAnsi="宋体" w:cs="宋体"/>
          <w:i w:val="0"/>
          <w:iCs w:val="0"/>
          <w:color w:val="auto"/>
          <w:sz w:val="34"/>
          <w:szCs w:val="34"/>
          <w:u w:val="none"/>
        </w:rPr>
        <w:t>Ⅲ</w:t>
      </w:r>
      <w:r>
        <w:rPr>
          <w:rFonts w:hint="eastAsia" w:ascii="宋体" w:hAnsi="宋体" w:eastAsia="方正仿宋简体" w:cs="方正仿宋简体"/>
          <w:i w:val="0"/>
          <w:iCs w:val="0"/>
          <w:color w:val="auto"/>
          <w:sz w:val="34"/>
          <w:szCs w:val="34"/>
          <w:u w:val="none"/>
        </w:rPr>
        <w:t>类</w:t>
      </w:r>
      <w:r>
        <w:rPr>
          <w:rFonts w:hint="eastAsia" w:ascii="宋体" w:hAnsi="宋体" w:eastAsia="方正仿宋简体" w:cs="方正仿宋简体"/>
          <w:i w:val="0"/>
          <w:iCs w:val="0"/>
          <w:color w:val="auto"/>
          <w:sz w:val="34"/>
          <w:szCs w:val="34"/>
          <w:u w:val="none"/>
          <w:lang w:eastAsia="zh-CN"/>
        </w:rPr>
        <w:t>、</w:t>
      </w:r>
      <w:r>
        <w:rPr>
          <w:rFonts w:hint="eastAsia" w:ascii="宋体" w:hAnsi="宋体" w:eastAsia="方正仿宋简体" w:cs="方正仿宋简体"/>
          <w:color w:val="auto"/>
          <w:sz w:val="34"/>
          <w:szCs w:val="34"/>
          <w:u w:val="none"/>
          <w:lang w:eastAsia="zh-CN"/>
        </w:rPr>
        <w:t>Ⅳ</w:t>
      </w:r>
      <w:r>
        <w:rPr>
          <w:rFonts w:hint="eastAsia" w:ascii="宋体" w:hAnsi="宋体" w:eastAsia="方正仿宋简体" w:cs="方正仿宋简体"/>
          <w:color w:val="auto"/>
          <w:sz w:val="34"/>
          <w:szCs w:val="34"/>
          <w:u w:val="none"/>
        </w:rPr>
        <w:t>类高校全日制本科生（</w:t>
      </w:r>
      <w:r>
        <w:rPr>
          <w:rFonts w:hint="eastAsia" w:ascii="宋体" w:hAnsi="宋体" w:eastAsia="方正仿宋简体" w:cs="方正仿宋简体"/>
          <w:color w:val="auto"/>
          <w:sz w:val="34"/>
          <w:szCs w:val="34"/>
          <w:u w:val="none"/>
          <w:lang w:eastAsia="zh-CN"/>
        </w:rPr>
        <w:t>仅限于</w:t>
      </w:r>
      <w:r>
        <w:rPr>
          <w:rFonts w:hint="default" w:ascii="宋体" w:hAnsi="宋体" w:eastAsia="方正仿宋简体" w:cs="方正仿宋简体"/>
          <w:color w:val="auto"/>
          <w:sz w:val="34"/>
          <w:szCs w:val="34"/>
          <w:u w:val="none"/>
          <w:lang w:val="en"/>
        </w:rPr>
        <w:t>镇级事业单位</w:t>
      </w:r>
      <w:r>
        <w:rPr>
          <w:rFonts w:hint="eastAsia" w:ascii="宋体" w:hAnsi="宋体" w:eastAsia="方正仿宋简体" w:cs="方正仿宋简体"/>
          <w:color w:val="auto"/>
          <w:sz w:val="34"/>
          <w:szCs w:val="34"/>
          <w:u w:val="none"/>
        </w:rPr>
        <w:t>）。</w:t>
      </w:r>
    </w:p>
    <w:p w14:paraId="5A548291">
      <w:pPr>
        <w:pStyle w:val="2"/>
        <w:keepNext w:val="0"/>
        <w:keepLines w:val="0"/>
        <w:pageBreakBefore w:val="0"/>
        <w:widowControl w:val="0"/>
        <w:kinsoku/>
        <w:wordWrap/>
        <w:topLinePunct w:val="0"/>
        <w:autoSpaceDE/>
        <w:autoSpaceDN/>
        <w:bidi w:val="0"/>
        <w:adjustRightInd/>
        <w:snapToGrid/>
        <w:spacing w:after="0" w:afterLines="0" w:line="600" w:lineRule="exact"/>
        <w:ind w:left="0" w:leftChars="0" w:firstLine="680" w:firstLineChars="200"/>
        <w:textAlignment w:val="auto"/>
        <w:rPr>
          <w:rFonts w:hint="eastAsia" w:ascii="宋体" w:hAnsi="宋体" w:eastAsia="方正仿宋简体" w:cs="方正仿宋简体"/>
          <w:b w:val="0"/>
          <w:bCs w:val="0"/>
          <w:color w:val="auto"/>
          <w:sz w:val="34"/>
          <w:szCs w:val="34"/>
          <w:lang w:val="en" w:eastAsia="zh-CN"/>
        </w:rPr>
      </w:pPr>
      <w:r>
        <w:rPr>
          <w:rFonts w:hint="eastAsia" w:ascii="黑体" w:hAnsi="黑体" w:eastAsia="黑体" w:cs="黑体"/>
          <w:b w:val="0"/>
          <w:bCs w:val="0"/>
          <w:color w:val="auto"/>
          <w:sz w:val="34"/>
          <w:szCs w:val="34"/>
        </w:rPr>
        <w:t>备注：</w:t>
      </w:r>
      <w:r>
        <w:rPr>
          <w:rFonts w:hint="eastAsia" w:ascii="宋体" w:hAnsi="宋体" w:eastAsia="方正仿宋简体" w:cs="方正仿宋简体"/>
          <w:color w:val="auto"/>
          <w:sz w:val="34"/>
          <w:szCs w:val="34"/>
        </w:rPr>
        <w:t>引进的硕士研究生、本科毕业生一般不超过35周岁</w:t>
      </w:r>
      <w:r>
        <w:rPr>
          <w:rFonts w:hint="eastAsia" w:ascii="宋体" w:hAnsi="宋体" w:eastAsia="方正仿宋简体" w:cs="方正仿宋简体"/>
          <w:color w:val="auto"/>
          <w:sz w:val="34"/>
          <w:szCs w:val="34"/>
          <w:lang w:val="en-US" w:eastAsia="zh-CN"/>
        </w:rPr>
        <w:t>。引进的</w:t>
      </w:r>
      <w:r>
        <w:rPr>
          <w:rFonts w:hint="eastAsia" w:ascii="宋体" w:hAnsi="宋体" w:eastAsia="方正仿宋简体" w:cs="方正仿宋简体"/>
          <w:color w:val="auto"/>
          <w:sz w:val="34"/>
          <w:szCs w:val="34"/>
        </w:rPr>
        <w:t>博士</w:t>
      </w:r>
      <w:r>
        <w:rPr>
          <w:rFonts w:hint="eastAsia" w:ascii="宋体" w:hAnsi="宋体" w:eastAsia="方正仿宋简体" w:cs="方正仿宋简体"/>
          <w:color w:val="auto"/>
          <w:sz w:val="34"/>
          <w:szCs w:val="34"/>
          <w:lang w:eastAsia="zh-CN"/>
        </w:rPr>
        <w:t>研究生</w:t>
      </w:r>
      <w:r>
        <w:rPr>
          <w:rFonts w:hint="eastAsia" w:ascii="宋体" w:hAnsi="宋体" w:eastAsia="方正仿宋简体" w:cs="方正仿宋简体"/>
          <w:color w:val="auto"/>
          <w:sz w:val="34"/>
          <w:szCs w:val="34"/>
        </w:rPr>
        <w:t>一般不超过45周岁，具有副高级专业技术职称人员一般不超过45周岁，具有正高级专业技术职称人员一般不超过50周岁。</w:t>
      </w:r>
      <w:r>
        <w:rPr>
          <w:rFonts w:hint="eastAsia" w:ascii="宋体" w:hAnsi="宋体" w:eastAsia="方正仿宋简体" w:cs="方正仿宋简体"/>
          <w:b w:val="0"/>
          <w:bCs w:val="0"/>
          <w:color w:val="auto"/>
          <w:sz w:val="34"/>
          <w:szCs w:val="34"/>
          <w:lang w:val="en" w:eastAsia="zh-CN"/>
        </w:rPr>
        <w:t>引进</w:t>
      </w:r>
      <w:r>
        <w:rPr>
          <w:rFonts w:hint="eastAsia" w:ascii="宋体" w:hAnsi="宋体" w:eastAsia="方正仿宋简体" w:cs="方正仿宋简体"/>
          <w:b w:val="0"/>
          <w:bCs w:val="0"/>
          <w:color w:val="auto"/>
          <w:sz w:val="34"/>
          <w:szCs w:val="34"/>
          <w:lang w:val="en-US" w:eastAsia="zh-CN"/>
        </w:rPr>
        <w:t>50周岁以下</w:t>
      </w:r>
      <w:r>
        <w:rPr>
          <w:rFonts w:hint="eastAsia" w:ascii="宋体" w:hAnsi="宋体" w:eastAsia="方正仿宋简体" w:cs="方正仿宋简体"/>
          <w:b w:val="0"/>
          <w:bCs w:val="0"/>
          <w:color w:val="auto"/>
          <w:sz w:val="34"/>
          <w:szCs w:val="34"/>
          <w:lang w:val="en" w:eastAsia="zh-CN"/>
        </w:rPr>
        <w:t>正高级专业技术职称人员和</w:t>
      </w:r>
      <w:r>
        <w:rPr>
          <w:rFonts w:hint="eastAsia" w:ascii="宋体" w:hAnsi="宋体" w:eastAsia="方正仿宋简体" w:cs="方正仿宋简体"/>
          <w:b w:val="0"/>
          <w:bCs w:val="0"/>
          <w:color w:val="auto"/>
          <w:sz w:val="34"/>
          <w:szCs w:val="34"/>
          <w:lang w:val="en-US" w:eastAsia="zh-CN"/>
        </w:rPr>
        <w:t>40周岁以下</w:t>
      </w:r>
      <w:r>
        <w:rPr>
          <w:rFonts w:hint="eastAsia" w:ascii="宋体" w:hAnsi="宋体" w:eastAsia="方正仿宋简体" w:cs="方正仿宋简体"/>
          <w:b w:val="0"/>
          <w:bCs w:val="0"/>
          <w:color w:val="auto"/>
          <w:sz w:val="34"/>
          <w:szCs w:val="34"/>
          <w:lang w:val="en" w:eastAsia="zh-CN"/>
        </w:rPr>
        <w:t>博士</w:t>
      </w:r>
      <w:r>
        <w:rPr>
          <w:rFonts w:hint="eastAsia" w:ascii="宋体" w:hAnsi="宋体" w:eastAsia="方正仿宋简体" w:cs="方正仿宋简体"/>
          <w:color w:val="auto"/>
          <w:sz w:val="34"/>
          <w:szCs w:val="34"/>
          <w:lang w:eastAsia="zh-CN"/>
        </w:rPr>
        <w:t>研究生</w:t>
      </w:r>
      <w:r>
        <w:rPr>
          <w:rFonts w:hint="eastAsia" w:ascii="宋体" w:hAnsi="宋体" w:eastAsia="方正仿宋简体" w:cs="方正仿宋简体"/>
          <w:b w:val="0"/>
          <w:bCs w:val="0"/>
          <w:color w:val="auto"/>
          <w:sz w:val="34"/>
          <w:szCs w:val="34"/>
          <w:lang w:val="en" w:eastAsia="zh-CN"/>
        </w:rPr>
        <w:t>可采用绿色通道方式进行。</w:t>
      </w:r>
    </w:p>
    <w:p w14:paraId="2332C5EA">
      <w:pPr>
        <w:keepNext w:val="0"/>
        <w:keepLines w:val="0"/>
        <w:pageBreakBefore w:val="0"/>
        <w:widowControl w:val="0"/>
        <w:kinsoku/>
        <w:wordWrap/>
        <w:overflowPunct w:val="0"/>
        <w:topLinePunct w:val="0"/>
        <w:autoSpaceDE/>
        <w:autoSpaceDN/>
        <w:bidi w:val="0"/>
        <w:adjustRightInd/>
        <w:snapToGrid/>
        <w:spacing w:line="580" w:lineRule="exact"/>
        <w:ind w:left="0" w:leftChars="0"/>
        <w:jc w:val="center"/>
        <w:textAlignment w:val="auto"/>
        <w:rPr>
          <w:rFonts w:hint="eastAsia" w:ascii="宋体" w:hAnsi="宋体" w:eastAsia="方正小标宋简体"/>
          <w:color w:val="auto"/>
          <w:sz w:val="34"/>
          <w:szCs w:val="34"/>
        </w:rPr>
      </w:pPr>
      <w:r>
        <w:rPr>
          <w:rFonts w:hint="eastAsia" w:ascii="宋体" w:hAnsi="宋体" w:eastAsia="方正小标宋简体"/>
          <w:color w:val="auto"/>
          <w:sz w:val="44"/>
          <w:szCs w:val="44"/>
        </w:rPr>
        <w:t>优秀大学毕业生高校名单</w:t>
      </w:r>
    </w:p>
    <w:p w14:paraId="368C9B01">
      <w:pPr>
        <w:keepNext w:val="0"/>
        <w:keepLines w:val="0"/>
        <w:pageBreakBefore w:val="0"/>
        <w:widowControl w:val="0"/>
        <w:kinsoku/>
        <w:wordWrap/>
        <w:overflowPunct w:val="0"/>
        <w:topLinePunct w:val="0"/>
        <w:autoSpaceDE/>
        <w:autoSpaceDN/>
        <w:bidi w:val="0"/>
        <w:adjustRightInd/>
        <w:snapToGrid/>
        <w:spacing w:line="580" w:lineRule="exact"/>
        <w:ind w:left="0" w:leftChars="0" w:firstLine="680" w:firstLineChars="200"/>
        <w:jc w:val="both"/>
        <w:textAlignment w:val="auto"/>
        <w:rPr>
          <w:rFonts w:hint="eastAsia" w:ascii="宋体" w:hAnsi="宋体" w:eastAsia="黑体"/>
          <w:color w:val="auto"/>
          <w:sz w:val="34"/>
          <w:szCs w:val="34"/>
        </w:rPr>
      </w:pPr>
    </w:p>
    <w:p w14:paraId="49E97282">
      <w:pPr>
        <w:keepNext w:val="0"/>
        <w:keepLines w:val="0"/>
        <w:pageBreakBefore w:val="0"/>
        <w:widowControl w:val="0"/>
        <w:kinsoku/>
        <w:wordWrap/>
        <w:overflowPunct w:val="0"/>
        <w:topLinePunct w:val="0"/>
        <w:autoSpaceDE/>
        <w:autoSpaceDN/>
        <w:bidi w:val="0"/>
        <w:adjustRightInd/>
        <w:snapToGrid/>
        <w:spacing w:line="580" w:lineRule="exact"/>
        <w:ind w:left="0" w:leftChars="0" w:firstLine="680" w:firstLineChars="200"/>
        <w:jc w:val="both"/>
        <w:textAlignment w:val="auto"/>
        <w:rPr>
          <w:rFonts w:hint="eastAsia" w:ascii="宋体" w:hAnsi="宋体" w:eastAsia="方正仿宋简体" w:cs="方正仿宋简体"/>
          <w:color w:val="auto"/>
          <w:sz w:val="34"/>
          <w:szCs w:val="34"/>
          <w:u w:val="none"/>
        </w:rPr>
      </w:pPr>
      <w:r>
        <w:rPr>
          <w:rFonts w:hint="eastAsia" w:ascii="宋体" w:hAnsi="宋体" w:eastAsia="黑体"/>
          <w:color w:val="auto"/>
          <w:sz w:val="34"/>
          <w:szCs w:val="34"/>
        </w:rPr>
        <w:t>国内</w:t>
      </w:r>
      <w:r>
        <w:rPr>
          <w:rFonts w:ascii="宋体" w:hAnsi="宋体" w:eastAsia="黑体"/>
          <w:color w:val="auto"/>
          <w:sz w:val="34"/>
          <w:szCs w:val="34"/>
        </w:rPr>
        <w:t>Ⅰ</w:t>
      </w:r>
      <w:r>
        <w:rPr>
          <w:rFonts w:hint="eastAsia" w:ascii="宋体" w:hAnsi="宋体" w:eastAsia="黑体"/>
          <w:color w:val="auto"/>
          <w:sz w:val="34"/>
          <w:szCs w:val="34"/>
        </w:rPr>
        <w:t>类高校</w:t>
      </w:r>
      <w:r>
        <w:rPr>
          <w:rFonts w:hint="eastAsia" w:ascii="宋体" w:hAnsi="宋体" w:eastAsia="黑体"/>
          <w:color w:val="auto"/>
          <w:sz w:val="34"/>
          <w:szCs w:val="34"/>
          <w:lang w:eastAsia="zh-CN"/>
        </w:rPr>
        <w:t>（</w:t>
      </w:r>
      <w:r>
        <w:rPr>
          <w:rFonts w:hint="eastAsia" w:ascii="宋体" w:hAnsi="宋体" w:eastAsia="黑体"/>
          <w:color w:val="auto"/>
          <w:sz w:val="34"/>
          <w:szCs w:val="34"/>
          <w:lang w:val="en-US" w:eastAsia="zh-CN"/>
        </w:rPr>
        <w:t>42所</w:t>
      </w:r>
      <w:r>
        <w:rPr>
          <w:rFonts w:hint="eastAsia" w:ascii="宋体" w:hAnsi="宋体" w:eastAsia="黑体"/>
          <w:color w:val="auto"/>
          <w:sz w:val="34"/>
          <w:szCs w:val="34"/>
          <w:lang w:eastAsia="zh-CN"/>
        </w:rPr>
        <w:t>）</w:t>
      </w:r>
      <w:r>
        <w:rPr>
          <w:rFonts w:hint="eastAsia" w:ascii="宋体" w:hAnsi="宋体" w:eastAsia="黑体"/>
          <w:color w:val="auto"/>
          <w:sz w:val="34"/>
          <w:szCs w:val="34"/>
        </w:rPr>
        <w:t>：</w:t>
      </w:r>
      <w:r>
        <w:rPr>
          <w:rFonts w:hint="eastAsia" w:ascii="宋体" w:hAnsi="宋体" w:eastAsia="方正仿宋简体" w:cs="方正仿宋简体"/>
          <w:color w:val="auto"/>
          <w:sz w:val="34"/>
          <w:szCs w:val="34"/>
        </w:rPr>
        <w:t>清华大学、北京大学、中国人民大学、北京航空航天大学、北京理工大学、中国农业大学、北京</w:t>
      </w:r>
      <w:r>
        <w:rPr>
          <w:rFonts w:hint="eastAsia" w:ascii="宋体" w:hAnsi="宋体" w:eastAsia="方正仿宋简体" w:cs="方正仿宋简体"/>
          <w:b w:val="0"/>
          <w:bCs w:val="0"/>
          <w:color w:val="auto"/>
          <w:sz w:val="34"/>
          <w:szCs w:val="34"/>
        </w:rPr>
        <w:t>师范</w:t>
      </w:r>
      <w:r>
        <w:rPr>
          <w:rFonts w:hint="eastAsia" w:ascii="宋体" w:hAnsi="宋体" w:eastAsia="方正仿宋简体" w:cs="方正仿宋简体"/>
          <w:color w:val="auto"/>
          <w:sz w:val="34"/>
          <w:szCs w:val="34"/>
        </w:rPr>
        <w:t>大学、中央民族大学、南开大学、天津大学、大连理工大学、吉林大学、哈尔滨工业大学、复旦大学、同济大学、上海交通大学、华东</w:t>
      </w:r>
      <w:r>
        <w:rPr>
          <w:rFonts w:hint="eastAsia" w:ascii="宋体" w:hAnsi="宋体" w:eastAsia="方正仿宋简体" w:cs="方正仿宋简体"/>
          <w:b w:val="0"/>
          <w:bCs w:val="0"/>
          <w:color w:val="auto"/>
          <w:sz w:val="34"/>
          <w:szCs w:val="34"/>
        </w:rPr>
        <w:t>师范</w:t>
      </w:r>
      <w:r>
        <w:rPr>
          <w:rFonts w:hint="eastAsia" w:ascii="宋体" w:hAnsi="宋体" w:eastAsia="方正仿宋简体" w:cs="方正仿宋简体"/>
          <w:color w:val="auto"/>
          <w:sz w:val="34"/>
          <w:szCs w:val="34"/>
        </w:rPr>
        <w:t>大学、南京大学、东南大学、浙江大学、中国科学技术大学、厦门大学、山东大学、中国</w:t>
      </w:r>
      <w:r>
        <w:rPr>
          <w:rFonts w:hint="eastAsia" w:ascii="宋体" w:hAnsi="宋体" w:eastAsia="方正仿宋简体" w:cs="方正仿宋简体"/>
          <w:color w:val="auto"/>
          <w:sz w:val="34"/>
          <w:szCs w:val="34"/>
          <w:u w:val="none"/>
        </w:rPr>
        <w:t>海洋大学、武汉大学、华中科技大学、中南大学、中山大学、华南理工大学、四川大学、重庆大学、电子科技大学、西安交通大学、西北工业大学、兰州大学、国防科技大学、东北大学、郑州大学、湖南大学、云南大学、西北农林科技大学、新疆大学。</w:t>
      </w:r>
    </w:p>
    <w:p w14:paraId="3013AE29">
      <w:pPr>
        <w:keepNext w:val="0"/>
        <w:keepLines w:val="0"/>
        <w:pageBreakBefore w:val="0"/>
        <w:widowControl w:val="0"/>
        <w:kinsoku/>
        <w:wordWrap/>
        <w:overflowPunct w:val="0"/>
        <w:topLinePunct w:val="0"/>
        <w:autoSpaceDE/>
        <w:autoSpaceDN/>
        <w:bidi w:val="0"/>
        <w:adjustRightInd/>
        <w:snapToGrid/>
        <w:spacing w:line="580" w:lineRule="exact"/>
        <w:ind w:left="0" w:leftChars="0" w:firstLine="680" w:firstLineChars="200"/>
        <w:jc w:val="both"/>
        <w:textAlignment w:val="auto"/>
        <w:rPr>
          <w:rFonts w:hint="eastAsia" w:ascii="宋体" w:hAnsi="宋体" w:eastAsia="方正仿宋简体"/>
          <w:color w:val="auto"/>
          <w:u w:val="none"/>
          <w:lang w:eastAsia="zh-CN"/>
        </w:rPr>
      </w:pPr>
      <w:r>
        <w:rPr>
          <w:rFonts w:hint="eastAsia" w:ascii="宋体" w:hAnsi="宋体" w:eastAsia="黑体"/>
          <w:color w:val="auto"/>
          <w:sz w:val="34"/>
          <w:szCs w:val="34"/>
          <w:u w:val="none"/>
        </w:rPr>
        <w:t>国内</w:t>
      </w:r>
      <w:r>
        <w:rPr>
          <w:rFonts w:hint="eastAsia" w:ascii="宋体" w:hAnsi="宋体" w:cs="宋体"/>
          <w:color w:val="auto"/>
          <w:sz w:val="34"/>
          <w:szCs w:val="34"/>
          <w:u w:val="none"/>
        </w:rPr>
        <w:t>Ⅱ</w:t>
      </w:r>
      <w:r>
        <w:rPr>
          <w:rFonts w:ascii="宋体" w:hAnsi="宋体" w:eastAsia="黑体"/>
          <w:color w:val="auto"/>
          <w:sz w:val="34"/>
          <w:szCs w:val="34"/>
          <w:u w:val="none"/>
        </w:rPr>
        <w:t>类</w:t>
      </w:r>
      <w:r>
        <w:rPr>
          <w:rFonts w:hint="eastAsia" w:ascii="宋体" w:hAnsi="宋体" w:eastAsia="黑体"/>
          <w:color w:val="auto"/>
          <w:sz w:val="34"/>
          <w:szCs w:val="34"/>
          <w:u w:val="none"/>
        </w:rPr>
        <w:t>高校</w:t>
      </w:r>
      <w:r>
        <w:rPr>
          <w:rFonts w:hint="eastAsia" w:ascii="宋体" w:hAnsi="宋体" w:eastAsia="黑体"/>
          <w:color w:val="auto"/>
          <w:sz w:val="34"/>
          <w:szCs w:val="34"/>
          <w:u w:val="none"/>
          <w:lang w:eastAsia="zh-CN"/>
        </w:rPr>
        <w:t>（</w:t>
      </w:r>
      <w:r>
        <w:rPr>
          <w:rFonts w:hint="eastAsia" w:ascii="宋体" w:hAnsi="宋体" w:eastAsia="黑体"/>
          <w:color w:val="auto"/>
          <w:sz w:val="34"/>
          <w:szCs w:val="34"/>
          <w:u w:val="none"/>
          <w:lang w:val="en-US" w:eastAsia="zh-CN"/>
        </w:rPr>
        <w:t>73所</w:t>
      </w:r>
      <w:r>
        <w:rPr>
          <w:rFonts w:hint="eastAsia" w:ascii="宋体" w:hAnsi="宋体" w:eastAsia="黑体"/>
          <w:color w:val="auto"/>
          <w:sz w:val="34"/>
          <w:szCs w:val="34"/>
          <w:u w:val="none"/>
          <w:lang w:eastAsia="zh-CN"/>
        </w:rPr>
        <w:t>）</w:t>
      </w:r>
      <w:r>
        <w:rPr>
          <w:rFonts w:ascii="宋体" w:hAnsi="宋体" w:eastAsia="黑体"/>
          <w:color w:val="auto"/>
          <w:sz w:val="34"/>
          <w:szCs w:val="34"/>
          <w:u w:val="none"/>
        </w:rPr>
        <w:t>：</w:t>
      </w:r>
      <w:r>
        <w:rPr>
          <w:rFonts w:hint="eastAsia" w:ascii="宋体" w:hAnsi="宋体" w:eastAsia="方正仿宋简体" w:cs="方正仿宋简体"/>
          <w:color w:val="auto"/>
          <w:sz w:val="34"/>
          <w:szCs w:val="34"/>
          <w:u w:val="none"/>
        </w:rPr>
        <w:t>北京交通大学（系统科学）、北京工业大学（土木工程）、北京科技大学（科学技术史、材料科学与工程、冶金工程、矿业工程）、北京化工大学（化学工程与技术）、北京邮电大学（信息与通信工程、计算机科学与技术）、北京林业大学（风景园林学、林学）、北京中医药大学（中医学、中西医结合、中药学）、北京外国语大学（外国语言文学）、中国传媒大学（新闻传播学、戏剧与影视学）、中央财经大学（应用经济学）、对外经济贸易大学（应用经济学）、北京体育大学（体育学）、中央音乐学院（音乐与舞蹈学）、中国政法大学（法学）、天津医科大学（临床医学）、华北电力大学（电气工程）、河北工业大学（电气工程）、太原理工大学（化学工程与技术）、内蒙古大学（生物学）、辽宁大学（应用经济学）、大连海事大学（交通运输工程）、延边大学（外国语言文学）、东北</w:t>
      </w:r>
      <w:r>
        <w:rPr>
          <w:rFonts w:hint="eastAsia" w:ascii="宋体" w:hAnsi="宋体" w:eastAsia="方正仿宋简体" w:cs="方正仿宋简体"/>
          <w:b w:val="0"/>
          <w:bCs w:val="0"/>
          <w:color w:val="auto"/>
          <w:sz w:val="34"/>
          <w:szCs w:val="34"/>
          <w:u w:val="none"/>
        </w:rPr>
        <w:t>师范</w:t>
      </w:r>
      <w:r>
        <w:rPr>
          <w:rFonts w:hint="eastAsia" w:ascii="宋体" w:hAnsi="宋体" w:eastAsia="方正仿宋简体" w:cs="方正仿宋简体"/>
          <w:color w:val="auto"/>
          <w:sz w:val="34"/>
          <w:szCs w:val="34"/>
          <w:u w:val="none"/>
        </w:rPr>
        <w:t>大学（马克思主义理论、教育学、世界史、化学、统计学、材料科学与工程）、哈尔滨工程大学（船舶与海洋工程）、东北农业大学（畜牧学）、东北林业大学（林业工程、林学）、华东理工大学（化学、材料科学与工程、化学工程与技术）、东华大学（材料科学与工程、纺织科学与工程）、上海外国语大学（外国语言文学）、上海财经大学（应用经济学）、</w:t>
      </w:r>
      <w:r>
        <w:rPr>
          <w:rFonts w:hint="eastAsia" w:ascii="宋体" w:hAnsi="宋体" w:eastAsia="方正仿宋简体" w:cs="方正仿宋简体"/>
          <w:b w:val="0"/>
          <w:bCs w:val="0"/>
          <w:color w:val="auto"/>
          <w:sz w:val="34"/>
          <w:szCs w:val="34"/>
          <w:u w:val="none"/>
        </w:rPr>
        <w:t>上海大学（机械工程）、</w:t>
      </w:r>
      <w:r>
        <w:rPr>
          <w:rFonts w:hint="eastAsia" w:ascii="宋体" w:hAnsi="宋体" w:eastAsia="方正仿宋简体" w:cs="方正仿宋简体"/>
          <w:color w:val="auto"/>
          <w:sz w:val="34"/>
          <w:szCs w:val="34"/>
          <w:u w:val="none"/>
        </w:rPr>
        <w:t>苏州大学（材料科学与工程）、南京航空航天大学（力学、控制科学与工程、航空宇航科学与技术）、南京理工大学（兵器科学与技术）、</w:t>
      </w:r>
      <w:r>
        <w:rPr>
          <w:rFonts w:hint="eastAsia" w:ascii="宋体" w:hAnsi="宋体" w:eastAsia="方正仿宋简体" w:cs="方正仿宋简体"/>
          <w:b w:val="0"/>
          <w:bCs w:val="0"/>
          <w:color w:val="auto"/>
          <w:sz w:val="34"/>
          <w:szCs w:val="34"/>
          <w:u w:val="none"/>
        </w:rPr>
        <w:t>中国矿业大学（矿业工程、安全科学与工程）、河海大学（水利工程、环境科学与工程）、江南大学（轻工技术与工程、食品科学与工程）、南京农业大学（作物学、农业资源与环境）、中国药科大学（中药学）、南京师范大学（地理学）、安徽大学（材料科学与工程）、合肥工业大学（管理科学与工程）、福州大学（化学）、中国石油大学（华东）（地质资源与地质工程、石油与天然气工程）、南昌大学（材料科学与工程）、中国地质大学（武汉）（</w:t>
      </w:r>
      <w:r>
        <w:rPr>
          <w:rFonts w:hint="eastAsia" w:ascii="宋体" w:hAnsi="宋体" w:eastAsia="方正仿宋简体" w:cs="方正仿宋简体"/>
          <w:color w:val="auto"/>
          <w:sz w:val="34"/>
          <w:szCs w:val="34"/>
          <w:u w:val="none"/>
        </w:rPr>
        <w:t>地质学、地质资源与地质工程）、武汉理工大学（材料科学与工程）、华中农业大学（生物学、园艺学、畜牧学、兽医学、农林经济管理）、华中</w:t>
      </w:r>
      <w:r>
        <w:rPr>
          <w:rFonts w:hint="eastAsia" w:ascii="宋体" w:hAnsi="宋体" w:eastAsia="方正仿宋简体" w:cs="方正仿宋简体"/>
          <w:b w:val="0"/>
          <w:bCs w:val="0"/>
          <w:color w:val="auto"/>
          <w:sz w:val="34"/>
          <w:szCs w:val="34"/>
          <w:u w:val="none"/>
        </w:rPr>
        <w:t>师范</w:t>
      </w:r>
      <w:r>
        <w:rPr>
          <w:rFonts w:hint="eastAsia" w:ascii="宋体" w:hAnsi="宋体" w:eastAsia="方正仿宋简体" w:cs="方正仿宋简体"/>
          <w:color w:val="auto"/>
          <w:sz w:val="34"/>
          <w:szCs w:val="34"/>
          <w:u w:val="none"/>
        </w:rPr>
        <w:t>大学（政治学、教育学、中国语言文学）、中南财经政法大学（法学）、湖南</w:t>
      </w:r>
      <w:r>
        <w:rPr>
          <w:rFonts w:hint="eastAsia" w:ascii="宋体" w:hAnsi="宋体" w:eastAsia="方正仿宋简体" w:cs="方正仿宋简体"/>
          <w:b w:val="0"/>
          <w:bCs w:val="0"/>
          <w:color w:val="auto"/>
          <w:sz w:val="34"/>
          <w:szCs w:val="34"/>
          <w:u w:val="none"/>
        </w:rPr>
        <w:t>师范大学（外国语言文学）、暨南大学（药学）、华南师范大学（</w:t>
      </w:r>
      <w:r>
        <w:rPr>
          <w:rFonts w:hint="eastAsia" w:ascii="宋体" w:hAnsi="宋体" w:eastAsia="方正仿宋简体" w:cs="方正仿宋简体"/>
          <w:color w:val="auto"/>
          <w:sz w:val="34"/>
          <w:szCs w:val="34"/>
          <w:u w:val="none"/>
        </w:rPr>
        <w:t>物理学）、海南大学（作物学）、广西大学（土木工程）、西南交通大学（交通运输工程）、四川农业大学（作物学）、西南大学（教育学、生物学）、西南财经大学（应用经济学）、贵州大学（植物保护）、西藏大学（生态学）、西北大学（考古学、地质学）、西安电子科技大学（信息与通信工程、计算机科学与技术）、长安大学（交通运输工程）、陕西</w:t>
      </w:r>
      <w:r>
        <w:rPr>
          <w:rFonts w:hint="eastAsia" w:ascii="宋体" w:hAnsi="宋体" w:eastAsia="方正仿宋简体" w:cs="方正仿宋简体"/>
          <w:b w:val="0"/>
          <w:bCs w:val="0"/>
          <w:color w:val="auto"/>
          <w:sz w:val="34"/>
          <w:szCs w:val="34"/>
          <w:u w:val="none"/>
        </w:rPr>
        <w:t>师范</w:t>
      </w:r>
      <w:r>
        <w:rPr>
          <w:rFonts w:hint="eastAsia" w:ascii="宋体" w:hAnsi="宋体" w:eastAsia="方正仿宋简体" w:cs="方正仿宋简体"/>
          <w:color w:val="auto"/>
          <w:sz w:val="34"/>
          <w:szCs w:val="34"/>
          <w:u w:val="none"/>
        </w:rPr>
        <w:t>大学（中国语言文学）、青海大学（生态学）、宁夏大学（化学工程与技术）、石河子大学（化学工程与技术）、中国矿业大学（北京）（矿业工程、安全科学与工程）、中国石油大学（北京）（地质资源与地质工程、石油与天然气工程）、中国地质大学（北京）（地质学、地质资源与地质工程）、海军军医大学（基础医学）、空军军医大学（临床医学）</w:t>
      </w:r>
      <w:r>
        <w:rPr>
          <w:rFonts w:hint="eastAsia" w:ascii="宋体" w:hAnsi="宋体" w:eastAsia="方正仿宋简体" w:cs="方正仿宋简体"/>
          <w:color w:val="auto"/>
          <w:sz w:val="34"/>
          <w:szCs w:val="34"/>
          <w:u w:val="none"/>
          <w:lang w:eastAsia="zh-CN"/>
        </w:rPr>
        <w:t>。</w:t>
      </w:r>
    </w:p>
    <w:p w14:paraId="33D98B9E">
      <w:pPr>
        <w:pStyle w:val="2"/>
        <w:keepNext w:val="0"/>
        <w:keepLines w:val="0"/>
        <w:pageBreakBefore w:val="0"/>
        <w:widowControl w:val="0"/>
        <w:kinsoku/>
        <w:wordWrap/>
        <w:topLinePunct w:val="0"/>
        <w:autoSpaceDE/>
        <w:autoSpaceDN/>
        <w:bidi w:val="0"/>
        <w:adjustRightInd/>
        <w:snapToGrid/>
        <w:spacing w:after="0" w:afterLines="0" w:line="580" w:lineRule="exact"/>
        <w:ind w:left="0" w:leftChars="0" w:firstLine="680" w:firstLineChars="200"/>
        <w:jc w:val="both"/>
        <w:textAlignment w:val="auto"/>
        <w:rPr>
          <w:rFonts w:hint="eastAsia" w:ascii="宋体" w:hAnsi="宋体" w:eastAsia="方正仿宋简体" w:cs="方正仿宋简体"/>
          <w:color w:val="auto"/>
          <w:kern w:val="2"/>
          <w:sz w:val="34"/>
          <w:szCs w:val="34"/>
          <w:u w:val="none"/>
          <w:lang w:val="en-US" w:eastAsia="zh-CN"/>
        </w:rPr>
      </w:pPr>
      <w:r>
        <w:rPr>
          <w:rFonts w:hint="eastAsia" w:ascii="宋体" w:hAnsi="宋体" w:eastAsia="方正仿宋简体" w:cs="方正仿宋简体"/>
          <w:color w:val="auto"/>
          <w:kern w:val="2"/>
          <w:sz w:val="34"/>
          <w:szCs w:val="34"/>
          <w:u w:val="none"/>
          <w:lang w:val="en-US" w:eastAsia="zh-CN"/>
        </w:rPr>
        <w:t>说明：国内Ⅱ类高校括号中学科为“双一流”建设学科。</w:t>
      </w:r>
    </w:p>
    <w:p w14:paraId="7240B067">
      <w:pPr>
        <w:pStyle w:val="2"/>
        <w:keepNext w:val="0"/>
        <w:keepLines w:val="0"/>
        <w:pageBreakBefore w:val="0"/>
        <w:widowControl w:val="0"/>
        <w:kinsoku/>
        <w:wordWrap/>
        <w:topLinePunct w:val="0"/>
        <w:autoSpaceDE/>
        <w:autoSpaceDN/>
        <w:bidi w:val="0"/>
        <w:adjustRightInd/>
        <w:snapToGrid/>
        <w:spacing w:after="0" w:afterLines="0" w:line="580" w:lineRule="exact"/>
        <w:ind w:left="0" w:leftChars="0" w:firstLine="680" w:firstLineChars="200"/>
        <w:jc w:val="both"/>
        <w:textAlignment w:val="auto"/>
        <w:rPr>
          <w:rFonts w:hint="eastAsia" w:ascii="宋体" w:hAnsi="宋体" w:eastAsia="方正仿宋简体" w:cs="方正仿宋简体"/>
          <w:b w:val="0"/>
          <w:bCs w:val="0"/>
          <w:color w:val="auto"/>
          <w:sz w:val="34"/>
          <w:szCs w:val="34"/>
          <w:u w:val="none"/>
        </w:rPr>
      </w:pPr>
      <w:r>
        <w:rPr>
          <w:rFonts w:hint="eastAsia" w:ascii="宋体" w:hAnsi="宋体" w:eastAsia="黑体"/>
          <w:color w:val="auto"/>
          <w:sz w:val="34"/>
          <w:szCs w:val="34"/>
          <w:u w:val="none"/>
        </w:rPr>
        <w:t>国内</w:t>
      </w:r>
      <w:r>
        <w:rPr>
          <w:rFonts w:hint="eastAsia" w:ascii="宋体" w:hAnsi="宋体" w:cs="宋体"/>
          <w:color w:val="auto"/>
          <w:sz w:val="34"/>
          <w:szCs w:val="34"/>
          <w:u w:val="none"/>
        </w:rPr>
        <w:t>Ⅲ</w:t>
      </w:r>
      <w:r>
        <w:rPr>
          <w:rFonts w:ascii="宋体" w:hAnsi="宋体" w:eastAsia="黑体"/>
          <w:color w:val="auto"/>
          <w:sz w:val="34"/>
          <w:szCs w:val="34"/>
          <w:u w:val="none"/>
        </w:rPr>
        <w:t>类高校</w:t>
      </w:r>
      <w:r>
        <w:rPr>
          <w:rFonts w:hint="eastAsia" w:ascii="宋体" w:hAnsi="宋体" w:eastAsia="黑体"/>
          <w:color w:val="auto"/>
          <w:sz w:val="34"/>
          <w:szCs w:val="34"/>
          <w:u w:val="none"/>
          <w:lang w:eastAsia="zh-CN"/>
        </w:rPr>
        <w:t>（</w:t>
      </w:r>
      <w:r>
        <w:rPr>
          <w:rFonts w:hint="eastAsia" w:ascii="宋体" w:hAnsi="宋体" w:eastAsia="黑体"/>
          <w:color w:val="auto"/>
          <w:sz w:val="34"/>
          <w:szCs w:val="34"/>
          <w:u w:val="none"/>
          <w:lang w:val="en-US" w:eastAsia="zh-CN"/>
        </w:rPr>
        <w:t>34所</w:t>
      </w:r>
      <w:r>
        <w:rPr>
          <w:rFonts w:hint="eastAsia" w:ascii="宋体" w:hAnsi="宋体" w:eastAsia="黑体"/>
          <w:color w:val="auto"/>
          <w:sz w:val="34"/>
          <w:szCs w:val="34"/>
          <w:u w:val="none"/>
          <w:lang w:eastAsia="zh-CN"/>
        </w:rPr>
        <w:t>）</w:t>
      </w:r>
      <w:r>
        <w:rPr>
          <w:rFonts w:ascii="宋体" w:hAnsi="宋体" w:eastAsia="黑体"/>
          <w:color w:val="auto"/>
          <w:sz w:val="34"/>
          <w:szCs w:val="34"/>
          <w:u w:val="none"/>
        </w:rPr>
        <w:t>：</w:t>
      </w:r>
      <w:r>
        <w:rPr>
          <w:rFonts w:hint="eastAsia" w:ascii="宋体" w:hAnsi="宋体" w:eastAsia="方正仿宋简体" w:cs="方正仿宋简体"/>
          <w:color w:val="auto"/>
          <w:sz w:val="34"/>
          <w:szCs w:val="34"/>
          <w:u w:val="none"/>
        </w:rPr>
        <w:t>北京协和医学院（生物学、生物医学工程、临床医学、公共卫生与预防医学、药学）、</w:t>
      </w:r>
      <w:r>
        <w:rPr>
          <w:rFonts w:hint="eastAsia" w:ascii="宋体" w:hAnsi="宋体" w:eastAsia="方正仿宋简体" w:cs="方正仿宋简体"/>
          <w:b w:val="0"/>
          <w:bCs w:val="0"/>
          <w:color w:val="auto"/>
          <w:sz w:val="34"/>
          <w:szCs w:val="34"/>
          <w:u w:val="none"/>
        </w:rPr>
        <w:t>首都师范大学（数</w:t>
      </w:r>
      <w:r>
        <w:rPr>
          <w:rFonts w:hint="eastAsia" w:ascii="宋体" w:hAnsi="宋体" w:eastAsia="方正仿宋简体" w:cs="方正仿宋简体"/>
          <w:color w:val="auto"/>
          <w:sz w:val="34"/>
          <w:szCs w:val="34"/>
          <w:u w:val="none"/>
        </w:rPr>
        <w:t>学）、外交学院（政治学）、中国人民公安大学（公安学）、中国音乐学院（音乐与舞蹈学）、中央美术学院（美术学、设计学）、中央戏剧学院（戏剧与影视学）、天津工业大学（纺织科学与工程）、天津中医药大学（中药学）、山西大学（哲学、物理学）、上海海洋大学（水产）、上海中医药大学（中医学、中药学）、上海体育学院（体育学）、上海音乐学院（音乐与舞蹈学）、南京邮电大学（电子科学与技术）、南京林业大学（林业工程）、南京信息工程大学（大气科学）、</w:t>
      </w:r>
      <w:r>
        <w:rPr>
          <w:rFonts w:hint="eastAsia" w:ascii="宋体" w:hAnsi="宋体" w:eastAsia="方正仿宋简体" w:cs="方正仿宋简体"/>
          <w:b w:val="0"/>
          <w:bCs w:val="0"/>
          <w:color w:val="auto"/>
          <w:sz w:val="34"/>
          <w:szCs w:val="34"/>
          <w:u w:val="none"/>
        </w:rPr>
        <w:t>南京医科大学（公共卫生与预防医学）、</w:t>
      </w:r>
      <w:r>
        <w:rPr>
          <w:rFonts w:hint="eastAsia" w:ascii="宋体" w:hAnsi="宋体" w:eastAsia="方正仿宋简体" w:cs="方正仿宋简体"/>
          <w:color w:val="auto"/>
          <w:sz w:val="34"/>
          <w:szCs w:val="34"/>
          <w:u w:val="none"/>
        </w:rPr>
        <w:t>南京中医药大学（中药学）、中国美术学院（美术学）、河南大学（生物学）、湘潭大学（数学）、华南农业大学（作物学）、广州医科大学（临床医学）、广州中医药大学（中医学）、西南石油大学（石油与天然气工程）、成都理工大学（地质资源与地质工程）、成都中医药大学（中药学）、宁波大学（力学）、南方科技大学（数学）、上海科技大学（材料科学与工程）、中国科学院大学（化学、材料科学与工程）、</w:t>
      </w:r>
      <w:r>
        <w:rPr>
          <w:rFonts w:hint="eastAsia" w:ascii="宋体" w:hAnsi="宋体" w:eastAsia="方正仿宋简体" w:cs="方正仿宋简体"/>
          <w:b w:val="0"/>
          <w:bCs w:val="0"/>
          <w:color w:val="auto"/>
          <w:sz w:val="34"/>
          <w:szCs w:val="34"/>
          <w:u w:val="none"/>
        </w:rPr>
        <w:t>中国社会科学院大学、中央党校。</w:t>
      </w:r>
    </w:p>
    <w:p w14:paraId="26F4B514">
      <w:pPr>
        <w:pStyle w:val="2"/>
        <w:keepNext w:val="0"/>
        <w:keepLines w:val="0"/>
        <w:pageBreakBefore w:val="0"/>
        <w:widowControl w:val="0"/>
        <w:kinsoku/>
        <w:wordWrap/>
        <w:topLinePunct w:val="0"/>
        <w:autoSpaceDE/>
        <w:autoSpaceDN/>
        <w:bidi w:val="0"/>
        <w:adjustRightInd/>
        <w:snapToGrid/>
        <w:spacing w:after="0" w:afterLines="0" w:line="580" w:lineRule="exact"/>
        <w:ind w:left="0" w:leftChars="0" w:firstLine="680" w:firstLineChars="200"/>
        <w:jc w:val="both"/>
        <w:textAlignment w:val="auto"/>
        <w:rPr>
          <w:rFonts w:hint="eastAsia" w:ascii="宋体" w:hAnsi="宋体" w:eastAsia="方正仿宋简体" w:cs="方正仿宋简体"/>
          <w:color w:val="auto"/>
          <w:kern w:val="2"/>
          <w:sz w:val="34"/>
          <w:szCs w:val="34"/>
          <w:u w:val="none"/>
          <w:lang w:val="en-US" w:eastAsia="zh-CN"/>
        </w:rPr>
      </w:pPr>
      <w:r>
        <w:rPr>
          <w:rFonts w:hint="eastAsia" w:ascii="宋体" w:hAnsi="宋体" w:eastAsia="方正仿宋简体" w:cs="方正仿宋简体"/>
          <w:color w:val="auto"/>
          <w:kern w:val="2"/>
          <w:sz w:val="34"/>
          <w:szCs w:val="34"/>
          <w:u w:val="none"/>
          <w:lang w:val="en-US" w:eastAsia="zh-CN"/>
        </w:rPr>
        <w:t>说明：国内Ⅲ类高校括号中学科为“双一流”建设学科。</w:t>
      </w:r>
    </w:p>
    <w:p w14:paraId="496ACD06">
      <w:pPr>
        <w:pStyle w:val="2"/>
        <w:keepNext w:val="0"/>
        <w:keepLines w:val="0"/>
        <w:pageBreakBefore w:val="0"/>
        <w:widowControl w:val="0"/>
        <w:kinsoku/>
        <w:wordWrap/>
        <w:topLinePunct w:val="0"/>
        <w:autoSpaceDE/>
        <w:autoSpaceDN/>
        <w:bidi w:val="0"/>
        <w:adjustRightInd/>
        <w:snapToGrid/>
        <w:spacing w:after="0" w:afterLines="0" w:line="580" w:lineRule="exact"/>
        <w:ind w:left="0" w:leftChars="0" w:firstLine="680" w:firstLineChars="200"/>
        <w:jc w:val="both"/>
        <w:textAlignment w:val="auto"/>
        <w:rPr>
          <w:rFonts w:hint="eastAsia" w:ascii="宋体" w:hAnsi="宋体" w:eastAsia="方正仿宋简体" w:cs="方正仿宋简体"/>
          <w:color w:val="auto"/>
          <w:sz w:val="34"/>
          <w:szCs w:val="34"/>
        </w:rPr>
      </w:pPr>
      <w:r>
        <w:rPr>
          <w:rFonts w:hint="eastAsia" w:ascii="宋体" w:hAnsi="宋体" w:eastAsia="黑体"/>
          <w:color w:val="auto"/>
          <w:sz w:val="34"/>
          <w:szCs w:val="34"/>
          <w:u w:val="none"/>
        </w:rPr>
        <w:t>国内</w:t>
      </w:r>
      <w:r>
        <w:rPr>
          <w:rFonts w:hint="eastAsia" w:ascii="宋体" w:hAnsi="宋体" w:cs="宋体"/>
          <w:color w:val="auto"/>
          <w:sz w:val="34"/>
          <w:szCs w:val="34"/>
          <w:u w:val="none"/>
        </w:rPr>
        <w:t>Ⅳ</w:t>
      </w:r>
      <w:r>
        <w:rPr>
          <w:rFonts w:ascii="宋体" w:hAnsi="宋体" w:eastAsia="黑体"/>
          <w:color w:val="auto"/>
          <w:sz w:val="34"/>
          <w:szCs w:val="34"/>
          <w:u w:val="none"/>
        </w:rPr>
        <w:t>类高校</w:t>
      </w:r>
      <w:r>
        <w:rPr>
          <w:rFonts w:hint="eastAsia" w:ascii="宋体" w:hAnsi="宋体" w:eastAsia="黑体"/>
          <w:color w:val="auto"/>
          <w:sz w:val="34"/>
          <w:szCs w:val="34"/>
          <w:u w:val="none"/>
          <w:lang w:eastAsia="zh-CN"/>
        </w:rPr>
        <w:t>（</w:t>
      </w:r>
      <w:r>
        <w:rPr>
          <w:rFonts w:hint="eastAsia" w:ascii="宋体" w:hAnsi="宋体" w:eastAsia="黑体"/>
          <w:color w:val="auto"/>
          <w:sz w:val="34"/>
          <w:szCs w:val="34"/>
          <w:u w:val="none"/>
          <w:lang w:val="en-US" w:eastAsia="zh-CN"/>
        </w:rPr>
        <w:t>15所</w:t>
      </w:r>
      <w:r>
        <w:rPr>
          <w:rFonts w:hint="eastAsia" w:ascii="宋体" w:hAnsi="宋体" w:eastAsia="黑体"/>
          <w:color w:val="auto"/>
          <w:sz w:val="34"/>
          <w:szCs w:val="34"/>
          <w:u w:val="none"/>
          <w:lang w:eastAsia="zh-CN"/>
        </w:rPr>
        <w:t>）：</w:t>
      </w:r>
      <w:r>
        <w:rPr>
          <w:rFonts w:hint="eastAsia" w:ascii="宋体" w:hAnsi="宋体" w:eastAsia="方正仿宋简体" w:cs="方正仿宋简体"/>
          <w:color w:val="auto"/>
          <w:sz w:val="34"/>
          <w:szCs w:val="34"/>
          <w:u w:val="none"/>
        </w:rPr>
        <w:t>南方医科大学、广东工业大学、广东外语外贸大学、广州大学、深圳大学、汕头大学、广东医科大学、广东海洋大学、佛山大学、东莞理工学院、广</w:t>
      </w:r>
      <w:r>
        <w:rPr>
          <w:rFonts w:hint="eastAsia" w:ascii="宋体" w:hAnsi="宋体" w:eastAsia="方正仿宋简体" w:cs="方正仿宋简体"/>
          <w:color w:val="auto"/>
          <w:sz w:val="34"/>
          <w:szCs w:val="34"/>
        </w:rPr>
        <w:t>东药科大学</w:t>
      </w:r>
      <w:r>
        <w:rPr>
          <w:rFonts w:hint="eastAsia" w:ascii="宋体" w:hAnsi="宋体" w:eastAsia="方正仿宋简体" w:cs="方正仿宋简体"/>
          <w:b w:val="0"/>
          <w:bCs w:val="0"/>
          <w:color w:val="auto"/>
          <w:sz w:val="34"/>
          <w:szCs w:val="34"/>
        </w:rPr>
        <w:t>、广州美术学院、</w:t>
      </w:r>
      <w:r>
        <w:rPr>
          <w:rFonts w:hint="default" w:ascii="宋体" w:hAnsi="宋体" w:eastAsia="方正仿宋简体" w:cs="方正仿宋简体"/>
          <w:b w:val="0"/>
          <w:bCs w:val="0"/>
          <w:color w:val="auto"/>
          <w:sz w:val="34"/>
          <w:szCs w:val="34"/>
          <w:lang w:val="en"/>
        </w:rPr>
        <w:t>星海音乐学院、广州体育学院、</w:t>
      </w:r>
      <w:r>
        <w:rPr>
          <w:rFonts w:hint="eastAsia" w:ascii="宋体" w:hAnsi="宋体" w:eastAsia="方正仿宋简体" w:cs="方正仿宋简体"/>
          <w:color w:val="auto"/>
          <w:sz w:val="34"/>
          <w:szCs w:val="34"/>
        </w:rPr>
        <w:t>广东财经大学。</w:t>
      </w:r>
    </w:p>
    <w:p w14:paraId="25A45F0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80" w:firstLineChars="200"/>
        <w:jc w:val="both"/>
        <w:textAlignment w:val="auto"/>
        <w:outlineLvl w:val="9"/>
        <w:rPr>
          <w:rFonts w:hint="eastAsia" w:ascii="宋体" w:hAnsi="宋体" w:eastAsia="黑体" w:cs="黑体"/>
          <w:color w:val="auto"/>
          <w:sz w:val="34"/>
          <w:szCs w:val="34"/>
        </w:rPr>
      </w:pPr>
      <w:r>
        <w:rPr>
          <w:rFonts w:hint="eastAsia" w:ascii="宋体" w:hAnsi="宋体" w:eastAsia="黑体" w:cs="Times New Roman"/>
          <w:color w:val="auto"/>
          <w:sz w:val="34"/>
          <w:szCs w:val="34"/>
        </w:rPr>
        <w:t>境外</w:t>
      </w:r>
      <w:r>
        <w:rPr>
          <w:rFonts w:hint="eastAsia" w:ascii="宋体" w:hAnsi="宋体" w:eastAsia="黑体"/>
          <w:color w:val="auto"/>
          <w:sz w:val="34"/>
          <w:szCs w:val="34"/>
        </w:rPr>
        <w:t>优秀高校</w:t>
      </w:r>
      <w:r>
        <w:rPr>
          <w:rFonts w:hint="eastAsia" w:ascii="宋体" w:hAnsi="宋体" w:eastAsia="黑体"/>
          <w:color w:val="auto"/>
          <w:sz w:val="34"/>
          <w:szCs w:val="34"/>
          <w:lang w:eastAsia="zh-CN"/>
        </w:rPr>
        <w:t>（</w:t>
      </w:r>
      <w:r>
        <w:rPr>
          <w:rFonts w:hint="eastAsia" w:ascii="宋体" w:hAnsi="宋体" w:eastAsia="黑体"/>
          <w:color w:val="auto"/>
          <w:sz w:val="34"/>
          <w:szCs w:val="34"/>
          <w:lang w:val="en-US" w:eastAsia="zh-CN"/>
        </w:rPr>
        <w:t>60所</w:t>
      </w:r>
      <w:r>
        <w:rPr>
          <w:rFonts w:hint="eastAsia" w:ascii="宋体" w:hAnsi="宋体" w:eastAsia="黑体"/>
          <w:color w:val="auto"/>
          <w:sz w:val="34"/>
          <w:szCs w:val="34"/>
          <w:lang w:eastAsia="zh-CN"/>
        </w:rPr>
        <w:t>）：</w:t>
      </w:r>
      <w:r>
        <w:rPr>
          <w:rFonts w:hint="eastAsia" w:ascii="宋体" w:hAnsi="宋体" w:eastAsia="方正仿宋简体" w:cs="方正仿宋简体"/>
          <w:color w:val="auto"/>
          <w:sz w:val="34"/>
          <w:szCs w:val="34"/>
        </w:rPr>
        <w:t>香港大学、香港中文大学、香港城市大学、香港理工大学、香港科技大学、澳门大学、哈佛大学(Harvard</w:t>
      </w:r>
      <w:r>
        <w:rPr>
          <w:rFonts w:hint="eastAsia" w:ascii="宋体" w:hAnsi="宋体" w:eastAsia="方正仿宋简体" w:cs="方正仿宋简体"/>
          <w:color w:val="auto"/>
          <w:sz w:val="34"/>
          <w:szCs w:val="34"/>
          <w:lang w:val="en-US" w:eastAsia="zh-CN"/>
        </w:rPr>
        <w:t xml:space="preserve"> </w:t>
      </w:r>
      <w:r>
        <w:rPr>
          <w:rFonts w:hint="eastAsia" w:ascii="宋体" w:hAnsi="宋体" w:eastAsia="方正仿宋简体" w:cs="方正仿宋简体"/>
          <w:color w:val="auto"/>
          <w:sz w:val="34"/>
          <w:szCs w:val="34"/>
        </w:rPr>
        <w:t>University)、斯坦福大学(Stanford University)、芝加哥大学(University of Chicago)、麻省理工学院(Massachusetts Institute of Technology)、加州理工学院(California Institute of Technology)、普林斯顿大学(Princeton University)、耶鲁大学(Yale University)、约翰霍普金斯大学(Johns Hopkins University)、康奈尔大学(Cornell University)、宾夕法尼亚大学(University of Pennsylvania)、哥伦比亚大学(Columbia University)、加州大学伯克利分校(University of California, Berkeley)、加州大学洛杉矶分校(University of California, Los Angeles)、加州大学圣地亚哥分校(University of California, San Diego)、杜克大学(Duke University)、密歇根大学安娜堡分校(University of Michigan, AnnArbor)、西北大学(Northwestern University)、密歇根大学(University of Michigan)、卡内基梅隆大学(Carnegie Mellon University)、佐治亚理工学院(Georgia Institute of Technology)、华盛顿大学(University of Washington)、加州大学旧金山分校(University of California, San Francisco)、加州大学圣塔芭芭拉分校(University of California, Santa Barbara)、圣路易斯华盛顿大学(Washington University in St. Louis)、纽约大学(New York University)、剑桥大学(University of Cambridge)、牛津大学(University of Oxford)、伦敦大学学院(University College London)、帝国理工学院(Imperial College London)、爱丁堡大学(University of Edinburgh)、伦敦国王学院(King's College London)、伦敦政治经济学院(London School of Economics and Political Science)、曼彻斯特大学(The University of Manchester)、布里斯托大学(University of Bristol)、慕尼黑大学(LMU Munich)、海德堡大学(Heidelberg University)、慕尼黑工业大学(Technical University of Munich)、苏黎世联邦理工学院(Swiss Federal Institute of Technology Zurich)、洛桑联邦理工学院(Ecole Polytechnique Federale de Lausanne)、苏黎世大学(University of Zurich)、卡罗琳学院(Karolinska Institute)、澳大利亚国立大学(Australian National University)、悉尼大学(University of Sydney)、墨尔本大学(University of Melbourne)、新南威尔士大学(The University of New South Wales)、昆士兰大学(The University of Queensland)、多伦多大学(University of Toronto)、麦吉尔大学(McGill University)、英属哥伦比亚大学(University of British Columbia)、巴黎高等师范学院(École Normale Supérieure, Paris)、哥本哈根大学(University of Copenhagen)、莫斯科国立大学(Lomonosow State University)、新加坡国立大学(National University of Singapore)、南洋理工大学(Nanyang Technological University)。</w:t>
      </w:r>
    </w:p>
    <w:p w14:paraId="30856C0F">
      <w:pPr>
        <w:keepNext w:val="0"/>
        <w:keepLines w:val="0"/>
        <w:pageBreakBefore w:val="0"/>
        <w:kinsoku/>
        <w:wordWrap/>
        <w:overflowPunct/>
        <w:topLinePunct w:val="0"/>
        <w:autoSpaceDE/>
        <w:autoSpaceDN/>
        <w:bidi w:val="0"/>
        <w:adjustRightInd/>
        <w:snapToGrid/>
        <w:spacing w:line="580" w:lineRule="exact"/>
        <w:ind w:left="0" w:leftChars="0" w:right="0" w:rightChars="0" w:firstLine="680" w:firstLineChars="200"/>
        <w:textAlignment w:val="auto"/>
        <w:outlineLvl w:val="9"/>
        <w:rPr>
          <w:rFonts w:hint="default" w:ascii="宋体" w:hAnsi="宋体" w:eastAsia="方正仿宋简体" w:cs="方正仿宋简体"/>
          <w:color w:val="auto"/>
          <w:sz w:val="34"/>
          <w:szCs w:val="34"/>
          <w:lang w:val="en-US" w:eastAsia="zh-CN"/>
        </w:rPr>
      </w:pPr>
    </w:p>
    <w:p w14:paraId="53F559AA">
      <w:bookmarkStart w:id="0" w:name="_GoBack"/>
      <w:bookmarkEnd w:id="0"/>
    </w:p>
    <w:sectPr>
      <w:footerReference r:id="rId3" w:type="default"/>
      <w:pgSz w:w="11906" w:h="16838"/>
      <w:pgMar w:top="1928" w:right="1417" w:bottom="1701" w:left="141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3DFC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C6B5A4E">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t xml:space="preserve"> —</w:t>
                          </w:r>
                        </w:p>
                        <w:p w14:paraId="339CA3D2">
                          <w:pPr>
                            <w:pStyle w:val="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3C6B5A4E">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t xml:space="preserve"> —</w:t>
                    </w:r>
                  </w:p>
                  <w:p w14:paraId="339CA3D2">
                    <w:pPr>
                      <w:pStyle w:val="4"/>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456E5B"/>
    <w:rsid w:val="62456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rPr>
      <w:rFonts w:cs="Times New Roman"/>
    </w:rPr>
  </w:style>
  <w:style w:type="paragraph" w:styleId="3">
    <w:name w:val="Title"/>
    <w:basedOn w:val="1"/>
    <w:next w:val="1"/>
    <w:qFormat/>
    <w:uiPriority w:val="0"/>
    <w:pPr>
      <w:spacing w:before="240" w:beforeLines="0" w:after="60" w:afterLines="0"/>
      <w:jc w:val="center"/>
      <w:outlineLvl w:val="0"/>
    </w:pPr>
    <w:rPr>
      <w:rFonts w:ascii="Arial" w:hAnsi="Arial" w:cs="Arial"/>
      <w:b/>
      <w:bCs/>
      <w:sz w:val="32"/>
      <w:szCs w:val="32"/>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2025-11-18T02:47:00Z</dcterms:created>
  <dc:creator>小万19967457850</dc:creator>
  <cp:lastModifiedBy>小万19967457850</cp:lastModifiedBy>
  <dcterms:modified xsi:type="dcterms:W3CDTF">2025-11-18T02:47:45Z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596C8D72F9A44CA58DB9322C3E444828_11</vt:lpwstr>
  </property>
  <property fmtid="{D5CDD505-2E9C-101B-9397-08002B2CF9AE}" pid="4" name="KSOTemplateDocerSaveRecord">
    <vt:lpwstr>eyJoZGlkIjoiYWE0MDMzNzM5OTNhOTBjNWI0Y2I3ZDU4OTZmNWFmMTAiLCJ1c2VySWQiOiI2MTA4MjQxMTUifQ==</vt:lpwstr>
  </property>
</Properties>
</file>