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15337" w:type="dxa"/>
        <w:tblInd w:w="-7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2061"/>
        <w:gridCol w:w="656"/>
        <w:gridCol w:w="690"/>
        <w:gridCol w:w="5771"/>
        <w:gridCol w:w="5475"/>
      </w:tblGrid>
      <w:tr w14:paraId="018C4E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3" w:hRule="atLeast"/>
        </w:trPr>
        <w:tc>
          <w:tcPr>
            <w:tcW w:w="684" w:type="dxa"/>
            <w:vMerge w:val="restart"/>
            <w:tcBorders>
              <w:tl2br w:val="nil"/>
              <w:tr2bl w:val="nil"/>
            </w:tcBorders>
            <w:noWrap/>
            <w:vAlign w:val="center"/>
          </w:tcPr>
          <w:p w14:paraId="726C9819">
            <w:pPr>
              <w:keepNext w:val="0"/>
              <w:keepLines w:val="0"/>
              <w:widowControl/>
              <w:suppressLineNumbers w:val="0"/>
              <w:jc w:val="center"/>
              <w:textAlignment w:val="center"/>
              <w:rPr>
                <w:rFonts w:hint="default"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招聘学段</w:t>
            </w:r>
          </w:p>
        </w:tc>
        <w:tc>
          <w:tcPr>
            <w:tcW w:w="2061" w:type="dxa"/>
            <w:vMerge w:val="restart"/>
            <w:tcBorders>
              <w:tl2br w:val="nil"/>
              <w:tr2bl w:val="nil"/>
            </w:tcBorders>
            <w:noWrap/>
            <w:vAlign w:val="center"/>
          </w:tcPr>
          <w:p w14:paraId="52C52CC0">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招聘学校</w:t>
            </w:r>
          </w:p>
        </w:tc>
        <w:tc>
          <w:tcPr>
            <w:tcW w:w="656" w:type="dxa"/>
            <w:vMerge w:val="restart"/>
            <w:tcBorders>
              <w:tl2br w:val="nil"/>
              <w:tr2bl w:val="nil"/>
            </w:tcBorders>
            <w:noWrap/>
            <w:vAlign w:val="center"/>
          </w:tcPr>
          <w:p w14:paraId="08E45304">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招聘学科</w:t>
            </w:r>
          </w:p>
        </w:tc>
        <w:tc>
          <w:tcPr>
            <w:tcW w:w="690" w:type="dxa"/>
            <w:vMerge w:val="restart"/>
            <w:tcBorders>
              <w:tl2br w:val="nil"/>
              <w:tr2bl w:val="nil"/>
            </w:tcBorders>
            <w:noWrap/>
            <w:vAlign w:val="center"/>
          </w:tcPr>
          <w:p w14:paraId="17829B68">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招聘计划</w:t>
            </w:r>
          </w:p>
        </w:tc>
        <w:tc>
          <w:tcPr>
            <w:tcW w:w="11246" w:type="dxa"/>
            <w:gridSpan w:val="2"/>
            <w:tcBorders>
              <w:tl2br w:val="nil"/>
              <w:tr2bl w:val="nil"/>
            </w:tcBorders>
            <w:noWrap/>
            <w:vAlign w:val="center"/>
          </w:tcPr>
          <w:p w14:paraId="0C525247">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t>招聘条件</w:t>
            </w:r>
          </w:p>
        </w:tc>
      </w:tr>
      <w:tr w14:paraId="57F5FD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9" w:hRule="atLeast"/>
        </w:trPr>
        <w:tc>
          <w:tcPr>
            <w:tcW w:w="684" w:type="dxa"/>
            <w:vMerge w:val="continue"/>
            <w:tcBorders>
              <w:tl2br w:val="nil"/>
              <w:tr2bl w:val="nil"/>
            </w:tcBorders>
            <w:noWrap/>
            <w:vAlign w:val="center"/>
          </w:tcPr>
          <w:p w14:paraId="124574B4">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2061" w:type="dxa"/>
            <w:vMerge w:val="continue"/>
            <w:tcBorders>
              <w:tl2br w:val="nil"/>
              <w:tr2bl w:val="nil"/>
            </w:tcBorders>
            <w:noWrap/>
            <w:vAlign w:val="center"/>
          </w:tcPr>
          <w:p w14:paraId="2089D7BD">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656" w:type="dxa"/>
            <w:vMerge w:val="continue"/>
            <w:tcBorders>
              <w:tl2br w:val="nil"/>
              <w:tr2bl w:val="nil"/>
            </w:tcBorders>
            <w:noWrap/>
            <w:vAlign w:val="center"/>
          </w:tcPr>
          <w:p w14:paraId="0C71D363">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690" w:type="dxa"/>
            <w:vMerge w:val="continue"/>
            <w:tcBorders>
              <w:tl2br w:val="nil"/>
              <w:tr2bl w:val="nil"/>
            </w:tcBorders>
            <w:noWrap/>
            <w:vAlign w:val="center"/>
          </w:tcPr>
          <w:p w14:paraId="74A4AC3A">
            <w:pPr>
              <w:keepNext w:val="0"/>
              <w:keepLines w:val="0"/>
              <w:widowControl/>
              <w:suppressLineNumbers w:val="0"/>
              <w:jc w:val="center"/>
              <w:textAlignment w:val="center"/>
              <w:rPr>
                <w:rFonts w:hint="eastAsia" w:ascii="黑体" w:hAnsi="黑体" w:eastAsia="黑体" w:cs="黑体"/>
                <w:color w:val="000000" w:themeColor="text1"/>
                <w:highlight w:val="none"/>
                <w14:textFill>
                  <w14:solidFill>
                    <w14:schemeClr w14:val="tx1"/>
                  </w14:solidFill>
                </w14:textFill>
              </w:rPr>
            </w:pPr>
          </w:p>
        </w:tc>
        <w:tc>
          <w:tcPr>
            <w:tcW w:w="5771" w:type="dxa"/>
            <w:tcBorders>
              <w:tl2br w:val="nil"/>
              <w:tr2bl w:val="nil"/>
            </w:tcBorders>
            <w:noWrap/>
            <w:vAlign w:val="center"/>
          </w:tcPr>
          <w:p w14:paraId="0F5CCB7C">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default" w:ascii="Times New Roman" w:hAnsi="Times New Roman" w:eastAsia="仿宋_GB2312" w:cs="Times New Roman"/>
                <w:b/>
                <w:bCs/>
                <w:i w:val="0"/>
                <w:iCs w:val="0"/>
                <w:color w:val="000000" w:themeColor="text1"/>
                <w:kern w:val="0"/>
                <w:sz w:val="20"/>
                <w:szCs w:val="20"/>
                <w:highlight w:val="none"/>
                <w:u w:val="none"/>
                <w:lang w:val="en-US" w:eastAsia="zh-CN" w:bidi="ar"/>
                <w14:textFill>
                  <w14:solidFill>
                    <w14:schemeClr w14:val="tx1"/>
                  </w14:solidFill>
                </w14:textFill>
              </w:rPr>
              <w:t>2025届普通高校毕业生</w:t>
            </w:r>
          </w:p>
        </w:tc>
        <w:tc>
          <w:tcPr>
            <w:tcW w:w="5475" w:type="dxa"/>
            <w:tcBorders>
              <w:tl2br w:val="nil"/>
              <w:tr2bl w:val="nil"/>
            </w:tcBorders>
            <w:noWrap/>
            <w:vAlign w:val="center"/>
          </w:tcPr>
          <w:p w14:paraId="08607C39">
            <w:pPr>
              <w:keepNext w:val="0"/>
              <w:keepLines w:val="0"/>
              <w:widowControl/>
              <w:suppressLineNumbers w:val="0"/>
              <w:jc w:val="center"/>
              <w:textAlignment w:val="center"/>
              <w:rPr>
                <w:rFonts w:hint="eastAsia" w:ascii="黑体" w:hAnsi="黑体" w:eastAsia="黑体" w:cs="黑体"/>
                <w:b/>
                <w:bCs/>
                <w:i w:val="0"/>
                <w:iCs w:val="0"/>
                <w:color w:val="000000" w:themeColor="text1"/>
                <w:kern w:val="0"/>
                <w:sz w:val="20"/>
                <w:szCs w:val="20"/>
                <w:highlight w:val="none"/>
                <w:u w:val="none"/>
                <w:lang w:val="en-US" w:eastAsia="zh-CN" w:bidi="ar"/>
                <w14:textFill>
                  <w14:solidFill>
                    <w14:schemeClr w14:val="tx1"/>
                  </w14:solidFill>
                </w14:textFill>
              </w:rPr>
            </w:pPr>
            <w:r>
              <w:rPr>
                <w:rFonts w:hint="eastAsia" w:ascii="仿宋_GB2312" w:hAnsi="仿宋_GB2312" w:eastAsia="仿宋_GB2312" w:cs="仿宋_GB2312"/>
                <w:b/>
                <w:bCs/>
                <w:i w:val="0"/>
                <w:iCs w:val="0"/>
                <w:color w:val="000000" w:themeColor="text1"/>
                <w:kern w:val="0"/>
                <w:sz w:val="20"/>
                <w:szCs w:val="20"/>
                <w:highlight w:val="none"/>
                <w:u w:val="none"/>
                <w:lang w:val="en-US" w:eastAsia="zh-CN" w:bidi="ar"/>
                <w14:textFill>
                  <w14:solidFill>
                    <w14:schemeClr w14:val="tx1"/>
                  </w14:solidFill>
                </w14:textFill>
              </w:rPr>
              <w:t>优秀教师</w:t>
            </w:r>
          </w:p>
        </w:tc>
      </w:tr>
      <w:tr w14:paraId="3E3C68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684" w:type="dxa"/>
            <w:vMerge w:val="restart"/>
            <w:tcBorders>
              <w:tl2br w:val="nil"/>
              <w:tr2bl w:val="nil"/>
            </w:tcBorders>
            <w:noWrap/>
            <w:vAlign w:val="center"/>
          </w:tcPr>
          <w:p w14:paraId="47C2AF6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高中</w:t>
            </w:r>
          </w:p>
        </w:tc>
        <w:tc>
          <w:tcPr>
            <w:tcW w:w="2061" w:type="dxa"/>
            <w:vMerge w:val="restart"/>
            <w:tcBorders>
              <w:tl2br w:val="nil"/>
              <w:tr2bl w:val="nil"/>
            </w:tcBorders>
            <w:noWrap/>
            <w:vAlign w:val="center"/>
          </w:tcPr>
          <w:p w14:paraId="7C6E5A83">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浙江省武义第二中学</w:t>
            </w:r>
          </w:p>
        </w:tc>
        <w:tc>
          <w:tcPr>
            <w:tcW w:w="656" w:type="dxa"/>
            <w:tcBorders>
              <w:tl2br w:val="nil"/>
              <w:tr2bl w:val="nil"/>
            </w:tcBorders>
            <w:noWrap/>
            <w:vAlign w:val="center"/>
          </w:tcPr>
          <w:p w14:paraId="4C44015E">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数学</w:t>
            </w:r>
          </w:p>
        </w:tc>
        <w:tc>
          <w:tcPr>
            <w:tcW w:w="690" w:type="dxa"/>
            <w:tcBorders>
              <w:tl2br w:val="nil"/>
              <w:tr2bl w:val="nil"/>
            </w:tcBorders>
            <w:noWrap/>
            <w:vAlign w:val="center"/>
          </w:tcPr>
          <w:p w14:paraId="2CD5074C">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restart"/>
            <w:tcBorders>
              <w:tl2br w:val="nil"/>
              <w:tr2bl w:val="nil"/>
            </w:tcBorders>
            <w:noWrap/>
            <w:vAlign w:val="center"/>
          </w:tcPr>
          <w:p w14:paraId="4F4DA366">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一、年龄要求</w:t>
            </w:r>
          </w:p>
          <w:p w14:paraId="2D58BEDB">
            <w:pPr>
              <w:keepNext w:val="0"/>
              <w:keepLines w:val="0"/>
              <w:widowControl/>
              <w:numPr>
                <w:ilvl w:val="0"/>
                <w:numId w:val="0"/>
              </w:numPr>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5</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周岁及以下（19</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89</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月以后出生）</w:t>
            </w:r>
          </w:p>
          <w:p w14:paraId="0214813D">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二、学历学位</w:t>
            </w:r>
          </w:p>
          <w:p w14:paraId="078B0F34">
            <w:pPr>
              <w:keepNext w:val="0"/>
              <w:keepLines w:val="0"/>
              <w:widowControl/>
              <w:suppressLineNumbers w:val="0"/>
              <w:jc w:val="left"/>
              <w:textAlignment w:val="cente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本科</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及以上学历</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、学士及以上学位</w:t>
            </w:r>
          </w:p>
          <w:p w14:paraId="5A3AA428">
            <w:pPr>
              <w:keepNext w:val="0"/>
              <w:keepLines w:val="0"/>
              <w:widowControl/>
              <w:suppressLineNumbers w:val="0"/>
              <w:jc w:val="left"/>
              <w:textAlignment w:val="center"/>
              <w:rPr>
                <w:rFonts w:hint="eastAsia"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三、专业要求</w:t>
            </w:r>
          </w:p>
          <w:p w14:paraId="17D84C5B">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须满足以下专业要求之一：</w:t>
            </w:r>
          </w:p>
          <w:p w14:paraId="2EC3C3D2">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研究生的研究方向须与岗位专业需求一致，本科或研究生阶段为师范类专业；</w:t>
            </w:r>
          </w:p>
          <w:p w14:paraId="082FAE0E">
            <w:pPr>
              <w:keepNext w:val="0"/>
              <w:keepLines w:val="0"/>
              <w:widowControl/>
              <w:suppressLineNumbers w:val="0"/>
              <w:jc w:val="left"/>
              <w:textAlignment w:val="cente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国家“双一流”建设高校对应建设学科本科及以上毕业生，所学专业与应聘学科需求专业相近或相似（结合教育部普通高等教育专业目录及招聘岗位实际予以综合认定）。</w:t>
            </w:r>
          </w:p>
          <w:p w14:paraId="21A43FE9">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.师范类</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本科毕业生，所学专业须与应聘学科</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一致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，且就</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读专业为特控线录取，外省毕业生以浙江省对应年份对应专业的录取批次为参照。</w:t>
            </w:r>
          </w:p>
          <w:p w14:paraId="24467196">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4</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.国（境）外毕业生就读学校须是位列ARWU、THE、U.S.News、QS世界大学最新综合排名前100的高校，所学专业和毕业时间等信息以教育部留学服务中心出具的认证书为准，且本科或研究生阶段为师范类专业。</w:t>
            </w:r>
          </w:p>
          <w:p w14:paraId="78BF22FE">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四、</w:t>
            </w: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学业成绩要求</w:t>
            </w:r>
          </w:p>
          <w:p w14:paraId="4EF53668">
            <w:pPr>
              <w:keepNext w:val="0"/>
              <w:keepLines w:val="0"/>
              <w:widowControl/>
              <w:suppressLineNumbers w:val="0"/>
              <w:jc w:val="left"/>
              <w:textAlignment w:val="cente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本科生学习成绩要求前三年综合成绩在本专业年级排名前</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6</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w:t>
            </w:r>
          </w:p>
          <w:p w14:paraId="6FCE81B1">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2.浙江师范大学初阳学院、杭州师范大学经亨颐学院（含经亨颐实验班）师范类本科毕业生、国家“双一流”建设高校本科毕业生</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要求前三年综合成绩在本专业年级排名前</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8</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0%</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w:t>
            </w:r>
          </w:p>
          <w:p w14:paraId="35206F8E">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研究生不作成绩要求。</w:t>
            </w:r>
          </w:p>
        </w:tc>
        <w:tc>
          <w:tcPr>
            <w:tcW w:w="5475" w:type="dxa"/>
            <w:vMerge w:val="restart"/>
            <w:tcBorders>
              <w:tl2br w:val="nil"/>
              <w:tr2bl w:val="nil"/>
            </w:tcBorders>
            <w:noWrap/>
            <w:vAlign w:val="center"/>
          </w:tcPr>
          <w:p w14:paraId="03BD0E6D">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一、年龄要求</w:t>
            </w:r>
          </w:p>
          <w:p w14:paraId="2B61EFFA">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具有硕士研究生学历的教师，年龄要求在35周岁以下（198</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9</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月以后出生）；</w:t>
            </w:r>
          </w:p>
          <w:p w14:paraId="2A4D288C">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具有博士研究生学历或中小学高级教师及以上职称的教师，年龄要求在45周岁以下（19</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79</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年</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月以后出生）。</w:t>
            </w:r>
          </w:p>
          <w:p w14:paraId="6F14A93A">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二、学历学位及职称要求</w:t>
            </w:r>
          </w:p>
          <w:p w14:paraId="27D5C946">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具有硕士研究生及以上学历或中小学高级教师及以上职称。</w:t>
            </w:r>
          </w:p>
          <w:p w14:paraId="01766DDA">
            <w:pPr>
              <w:keepNext w:val="0"/>
              <w:keepLines w:val="0"/>
              <w:widowControl/>
              <w:suppressLineNumbers w:val="0"/>
              <w:jc w:val="left"/>
              <w:textAlignment w:val="cente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黑体" w:cs="Times New Roman"/>
                <w:i w:val="0"/>
                <w:iCs w:val="0"/>
                <w:color w:val="000000" w:themeColor="text1"/>
                <w:kern w:val="0"/>
                <w:sz w:val="21"/>
                <w:szCs w:val="21"/>
                <w:highlight w:val="none"/>
                <w:u w:val="none"/>
                <w:lang w:val="en-US" w:eastAsia="zh-CN" w:bidi="ar"/>
                <w14:textFill>
                  <w14:solidFill>
                    <w14:schemeClr w14:val="tx1"/>
                  </w14:solidFill>
                </w14:textFill>
              </w:rPr>
              <w:t>三、其他要求</w:t>
            </w:r>
          </w:p>
          <w:p w14:paraId="47F7976D">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1.曾获得以下荣誉称号之一：</w:t>
            </w:r>
          </w:p>
          <w:p w14:paraId="0418729D">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（1）全国模范教师</w:t>
            </w:r>
            <w:r>
              <w:rPr>
                <w:rFonts w:hint="eastAsia"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w:t>
            </w: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全国优秀教师、全国优秀班主任、全国教书育人楷模、省特级教师、省教学名师等相当专业荣誉的教师。</w:t>
            </w:r>
          </w:p>
          <w:p w14:paraId="078DDEB3">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（2）近五年所辅导的学生获得过全国高中奥林匹克竞赛（数学、物理、化学、生物、信息）全国金牌的且承担主教练工作的教师。</w:t>
            </w:r>
          </w:p>
          <w:p w14:paraId="4DACFE2C">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3）全国职业院校技能大赛二等奖及以上或省级职业院校技能大赛一等奖者；省级及以上技术能手；世界技能大赛国家集训队成员；参加人社部门或教育部门组织的职业技能大赛获省级前三名、国家级前六名者；指导学生获得全国职业院校技能大赛一等奖的优秀指导教师。</w:t>
            </w:r>
          </w:p>
          <w:p w14:paraId="4BAB5127">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（4）曾获得相应学科县级及以上教坛新苗、教学能手、教坛新秀、名师，地级市优质课一等奖及以上等荣誉的教师。</w:t>
            </w:r>
          </w:p>
          <w:p w14:paraId="3B38030B">
            <w:pPr>
              <w:keepNext w:val="0"/>
              <w:keepLines w:val="0"/>
              <w:widowControl/>
              <w:suppressLineNumbers w:val="0"/>
              <w:jc w:val="left"/>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t>2.具有相应岗位的教师资格证书。</w:t>
            </w:r>
          </w:p>
        </w:tc>
      </w:tr>
      <w:tr w14:paraId="551CC8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684" w:type="dxa"/>
            <w:vMerge w:val="continue"/>
            <w:tcBorders>
              <w:tl2br w:val="nil"/>
              <w:tr2bl w:val="nil"/>
            </w:tcBorders>
            <w:noWrap/>
            <w:vAlign w:val="center"/>
          </w:tcPr>
          <w:p w14:paraId="7FD75EA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061" w:type="dxa"/>
            <w:vMerge w:val="continue"/>
            <w:tcBorders>
              <w:tl2br w:val="nil"/>
              <w:tr2bl w:val="nil"/>
            </w:tcBorders>
            <w:noWrap/>
            <w:vAlign w:val="center"/>
          </w:tcPr>
          <w:p w14:paraId="4BB48612">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656" w:type="dxa"/>
            <w:tcBorders>
              <w:tl2br w:val="nil"/>
              <w:tr2bl w:val="nil"/>
            </w:tcBorders>
            <w:noWrap/>
            <w:vAlign w:val="center"/>
          </w:tcPr>
          <w:p w14:paraId="06422784">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地理</w:t>
            </w:r>
          </w:p>
        </w:tc>
        <w:tc>
          <w:tcPr>
            <w:tcW w:w="690" w:type="dxa"/>
            <w:tcBorders>
              <w:tl2br w:val="nil"/>
              <w:tr2bl w:val="nil"/>
            </w:tcBorders>
            <w:noWrap/>
            <w:vAlign w:val="center"/>
          </w:tcPr>
          <w:p w14:paraId="7BCA0826">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continue"/>
            <w:tcBorders>
              <w:tl2br w:val="nil"/>
              <w:tr2bl w:val="nil"/>
            </w:tcBorders>
            <w:noWrap/>
            <w:vAlign w:val="center"/>
          </w:tcPr>
          <w:p w14:paraId="3EFBC905">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475" w:type="dxa"/>
            <w:vMerge w:val="continue"/>
            <w:tcBorders>
              <w:tl2br w:val="nil"/>
              <w:tr2bl w:val="nil"/>
            </w:tcBorders>
            <w:noWrap/>
            <w:vAlign w:val="center"/>
          </w:tcPr>
          <w:p w14:paraId="2F4F38E3">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315560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684" w:type="dxa"/>
            <w:vMerge w:val="continue"/>
            <w:tcBorders>
              <w:tl2br w:val="nil"/>
              <w:tr2bl w:val="nil"/>
            </w:tcBorders>
            <w:noWrap/>
            <w:vAlign w:val="center"/>
          </w:tcPr>
          <w:p w14:paraId="589D0BD7">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061" w:type="dxa"/>
            <w:tcBorders>
              <w:tl2br w:val="nil"/>
              <w:tr2bl w:val="nil"/>
            </w:tcBorders>
            <w:noWrap/>
            <w:vAlign w:val="center"/>
          </w:tcPr>
          <w:p w14:paraId="58931DA6">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浙江省武义第三中学</w:t>
            </w:r>
          </w:p>
        </w:tc>
        <w:tc>
          <w:tcPr>
            <w:tcW w:w="656" w:type="dxa"/>
            <w:tcBorders>
              <w:tl2br w:val="nil"/>
              <w:tr2bl w:val="nil"/>
            </w:tcBorders>
            <w:noWrap/>
            <w:vAlign w:val="center"/>
          </w:tcPr>
          <w:p w14:paraId="7107FE92">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地理</w:t>
            </w:r>
          </w:p>
        </w:tc>
        <w:tc>
          <w:tcPr>
            <w:tcW w:w="690" w:type="dxa"/>
            <w:tcBorders>
              <w:tl2br w:val="nil"/>
              <w:tr2bl w:val="nil"/>
            </w:tcBorders>
            <w:noWrap/>
            <w:vAlign w:val="center"/>
          </w:tcPr>
          <w:p w14:paraId="71E36B9F">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continue"/>
            <w:tcBorders>
              <w:tl2br w:val="nil"/>
              <w:tr2bl w:val="nil"/>
            </w:tcBorders>
            <w:noWrap/>
            <w:vAlign w:val="center"/>
          </w:tcPr>
          <w:p w14:paraId="22C1E392">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475" w:type="dxa"/>
            <w:vMerge w:val="continue"/>
            <w:tcBorders>
              <w:tl2br w:val="nil"/>
              <w:tr2bl w:val="nil"/>
            </w:tcBorders>
            <w:noWrap/>
            <w:vAlign w:val="center"/>
          </w:tcPr>
          <w:p w14:paraId="74E78311">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4DE6E8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01" w:hRule="exact"/>
        </w:trPr>
        <w:tc>
          <w:tcPr>
            <w:tcW w:w="684" w:type="dxa"/>
            <w:vMerge w:val="restart"/>
            <w:tcBorders>
              <w:tl2br w:val="nil"/>
              <w:tr2bl w:val="nil"/>
            </w:tcBorders>
            <w:noWrap/>
            <w:vAlign w:val="center"/>
          </w:tcPr>
          <w:p w14:paraId="47A5D2E6">
            <w:pPr>
              <w:keepNext w:val="0"/>
              <w:keepLines w:val="0"/>
              <w:widowControl/>
              <w:suppressLineNumbers w:val="0"/>
              <w:jc w:val="center"/>
              <w:textAlignment w:val="center"/>
              <w:rPr>
                <w:rFonts w:hint="eastAsia" w:ascii="仿宋_GB2312" w:hAnsi="仿宋_GB2312" w:eastAsia="仿宋_GB2312" w:cs="仿宋_GB2312"/>
                <w:b/>
                <w:bCs/>
                <w:i w:val="0"/>
                <w:iCs w:val="0"/>
                <w:color w:val="000000" w:themeColor="text1"/>
                <w:sz w:val="21"/>
                <w:szCs w:val="21"/>
                <w:highlight w:val="none"/>
                <w:u w:val="none"/>
                <w14:textFill>
                  <w14:solidFill>
                    <w14:schemeClr w14:val="tx1"/>
                  </w14:solidFill>
                </w14:textFill>
              </w:rPr>
            </w:pPr>
            <w:r>
              <w:rPr>
                <w:rFonts w:hint="eastAsia" w:ascii="仿宋_GB2312" w:hAnsi="仿宋_GB2312" w:eastAsia="仿宋_GB2312" w:cs="仿宋_GB2312"/>
                <w:i w:val="0"/>
                <w:iCs w:val="0"/>
                <w:color w:val="000000" w:themeColor="text1"/>
                <w:kern w:val="0"/>
                <w:sz w:val="21"/>
                <w:szCs w:val="21"/>
                <w:highlight w:val="none"/>
                <w:u w:val="none"/>
                <w:lang w:val="en-US" w:eastAsia="zh-CN" w:bidi="ar"/>
                <w14:textFill>
                  <w14:solidFill>
                    <w14:schemeClr w14:val="tx1"/>
                  </w14:solidFill>
                </w14:textFill>
              </w:rPr>
              <w:t>初中</w:t>
            </w:r>
          </w:p>
        </w:tc>
        <w:tc>
          <w:tcPr>
            <w:tcW w:w="2061" w:type="dxa"/>
            <w:tcBorders>
              <w:tl2br w:val="nil"/>
              <w:tr2bl w:val="nil"/>
            </w:tcBorders>
            <w:shd w:val="clear" w:color="auto" w:fill="auto"/>
            <w:noWrap/>
            <w:vAlign w:val="center"/>
          </w:tcPr>
          <w:p w14:paraId="4CA977C9">
            <w:pPr>
              <w:keepNext w:val="0"/>
              <w:keepLines w:val="0"/>
              <w:widowControl/>
              <w:suppressLineNumbers w:val="0"/>
              <w:jc w:val="left"/>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浙江省武义县金穗民族中学</w:t>
            </w:r>
            <w:bookmarkStart w:id="0" w:name="_GoBack"/>
            <w:bookmarkEnd w:id="0"/>
          </w:p>
        </w:tc>
        <w:tc>
          <w:tcPr>
            <w:tcW w:w="656" w:type="dxa"/>
            <w:tcBorders>
              <w:tl2br w:val="nil"/>
              <w:tr2bl w:val="nil"/>
            </w:tcBorders>
            <w:shd w:val="clear" w:color="auto" w:fill="auto"/>
            <w:noWrap/>
            <w:vAlign w:val="center"/>
          </w:tcPr>
          <w:p w14:paraId="0384CC8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数学</w:t>
            </w:r>
          </w:p>
        </w:tc>
        <w:tc>
          <w:tcPr>
            <w:tcW w:w="690" w:type="dxa"/>
            <w:tcBorders>
              <w:tl2br w:val="nil"/>
              <w:tr2bl w:val="nil"/>
            </w:tcBorders>
            <w:shd w:val="clear" w:color="auto" w:fill="auto"/>
            <w:noWrap/>
            <w:vAlign w:val="center"/>
          </w:tcPr>
          <w:p w14:paraId="0BD7AEAD">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continue"/>
            <w:tcBorders>
              <w:tl2br w:val="nil"/>
              <w:tr2bl w:val="nil"/>
            </w:tcBorders>
            <w:noWrap/>
            <w:vAlign w:val="center"/>
          </w:tcPr>
          <w:p w14:paraId="027A919F">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475" w:type="dxa"/>
            <w:vMerge w:val="continue"/>
            <w:tcBorders>
              <w:tl2br w:val="nil"/>
              <w:tr2bl w:val="nil"/>
            </w:tcBorders>
            <w:noWrap/>
            <w:vAlign w:val="center"/>
          </w:tcPr>
          <w:p w14:paraId="1047A89F">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r w14:paraId="1E5403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18" w:hRule="exact"/>
        </w:trPr>
        <w:tc>
          <w:tcPr>
            <w:tcW w:w="684" w:type="dxa"/>
            <w:vMerge w:val="continue"/>
            <w:tcBorders>
              <w:tl2br w:val="nil"/>
              <w:tr2bl w:val="nil"/>
            </w:tcBorders>
            <w:noWrap/>
            <w:vAlign w:val="center"/>
          </w:tcPr>
          <w:p w14:paraId="3A1094E1">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sz w:val="21"/>
                <w:szCs w:val="21"/>
                <w:highlight w:val="none"/>
                <w:u w:val="none"/>
                <w14:textFill>
                  <w14:solidFill>
                    <w14:schemeClr w14:val="tx1"/>
                  </w14:solidFill>
                </w14:textFill>
              </w:rPr>
            </w:pPr>
          </w:p>
        </w:tc>
        <w:tc>
          <w:tcPr>
            <w:tcW w:w="2061" w:type="dxa"/>
            <w:tcBorders>
              <w:tl2br w:val="nil"/>
              <w:tr2bl w:val="nil"/>
            </w:tcBorders>
            <w:shd w:val="clear" w:color="auto" w:fill="auto"/>
            <w:noWrap/>
            <w:vAlign w:val="center"/>
          </w:tcPr>
          <w:p w14:paraId="7E696888">
            <w:pPr>
              <w:keepNext w:val="0"/>
              <w:keepLines w:val="0"/>
              <w:widowControl/>
              <w:suppressLineNumbers w:val="0"/>
              <w:jc w:val="left"/>
              <w:textAlignment w:val="center"/>
              <w:rPr>
                <w:rFonts w:hint="eastAsia" w:ascii="仿宋_GB2312" w:hAnsi="仿宋_GB2312" w:eastAsia="仿宋_GB2312" w:cs="仿宋_GB2312"/>
                <w:b/>
                <w:bCs/>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武义县泉溪中学（新）</w:t>
            </w:r>
          </w:p>
        </w:tc>
        <w:tc>
          <w:tcPr>
            <w:tcW w:w="656" w:type="dxa"/>
            <w:tcBorders>
              <w:tl2br w:val="nil"/>
              <w:tr2bl w:val="nil"/>
            </w:tcBorders>
            <w:shd w:val="clear" w:color="auto" w:fill="auto"/>
            <w:noWrap/>
            <w:vAlign w:val="center"/>
          </w:tcPr>
          <w:p w14:paraId="7DAAA339">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数学</w:t>
            </w:r>
          </w:p>
        </w:tc>
        <w:tc>
          <w:tcPr>
            <w:tcW w:w="690" w:type="dxa"/>
            <w:tcBorders>
              <w:tl2br w:val="nil"/>
              <w:tr2bl w:val="nil"/>
            </w:tcBorders>
            <w:shd w:val="clear" w:color="auto" w:fill="auto"/>
            <w:noWrap/>
            <w:vAlign w:val="center"/>
          </w:tcPr>
          <w:p w14:paraId="1054FA10">
            <w:pPr>
              <w:keepNext w:val="0"/>
              <w:keepLines w:val="0"/>
              <w:widowControl/>
              <w:suppressLineNumbers w:val="0"/>
              <w:jc w:val="center"/>
              <w:textAlignment w:val="center"/>
              <w:rPr>
                <w:rFonts w:hint="eastAsia" w:ascii="仿宋_GB2312" w:hAnsi="仿宋_GB2312" w:eastAsia="仿宋_GB2312" w:cs="仿宋_GB2312"/>
                <w:i w:val="0"/>
                <w:iCs w:val="0"/>
                <w:color w:val="000000" w:themeColor="text1"/>
                <w:kern w:val="2"/>
                <w:sz w:val="21"/>
                <w:szCs w:val="21"/>
                <w:highlight w:val="none"/>
                <w:u w:val="none"/>
                <w:lang w:val="en-US" w:eastAsia="zh-CN" w:bidi="ar-SA"/>
                <w14:textFill>
                  <w14:solidFill>
                    <w14:schemeClr w14:val="tx1"/>
                  </w14:solidFill>
                </w14:textFill>
              </w:rPr>
            </w:pPr>
            <w:r>
              <w:rPr>
                <w:rFonts w:hint="eastAsia" w:ascii="仿宋_GB2312" w:hAnsi="仿宋_GB2312" w:eastAsia="仿宋_GB2312" w:cs="仿宋_GB2312"/>
                <w:i w:val="0"/>
                <w:iCs w:val="0"/>
                <w:color w:val="000000" w:themeColor="text1"/>
                <w:kern w:val="0"/>
                <w:sz w:val="20"/>
                <w:szCs w:val="20"/>
                <w:highlight w:val="none"/>
                <w:u w:val="none"/>
                <w:lang w:val="en-US" w:eastAsia="zh-CN" w:bidi="ar"/>
                <w14:textFill>
                  <w14:solidFill>
                    <w14:schemeClr w14:val="tx1"/>
                  </w14:solidFill>
                </w14:textFill>
              </w:rPr>
              <w:t>1</w:t>
            </w:r>
          </w:p>
        </w:tc>
        <w:tc>
          <w:tcPr>
            <w:tcW w:w="5771" w:type="dxa"/>
            <w:vMerge w:val="continue"/>
            <w:tcBorders>
              <w:tl2br w:val="nil"/>
              <w:tr2bl w:val="nil"/>
            </w:tcBorders>
            <w:noWrap/>
            <w:vAlign w:val="center"/>
          </w:tcPr>
          <w:p w14:paraId="69AD56DA">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c>
          <w:tcPr>
            <w:tcW w:w="5475" w:type="dxa"/>
            <w:vMerge w:val="continue"/>
            <w:tcBorders>
              <w:tl2br w:val="nil"/>
              <w:tr2bl w:val="nil"/>
            </w:tcBorders>
            <w:noWrap/>
            <w:vAlign w:val="center"/>
          </w:tcPr>
          <w:p w14:paraId="0E8F2385">
            <w:pPr>
              <w:keepNext w:val="0"/>
              <w:keepLines w:val="0"/>
              <w:widowControl/>
              <w:suppressLineNumbers w:val="0"/>
              <w:jc w:val="center"/>
              <w:textAlignment w:val="center"/>
              <w:rPr>
                <w:rFonts w:hint="default" w:ascii="Times New Roman" w:hAnsi="Times New Roman" w:eastAsia="仿宋_GB2312" w:cs="Times New Roman"/>
                <w:i w:val="0"/>
                <w:iCs w:val="0"/>
                <w:color w:val="000000" w:themeColor="text1"/>
                <w:kern w:val="0"/>
                <w:sz w:val="21"/>
                <w:szCs w:val="21"/>
                <w:highlight w:val="none"/>
                <w:u w:val="none"/>
                <w:lang w:val="en-US" w:eastAsia="zh-CN" w:bidi="ar"/>
                <w14:textFill>
                  <w14:solidFill>
                    <w14:schemeClr w14:val="tx1"/>
                  </w14:solidFill>
                </w14:textFill>
              </w:rPr>
            </w:pPr>
          </w:p>
        </w:tc>
      </w:tr>
    </w:tbl>
    <w:p w14:paraId="184D534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DE07B4"/>
    <w:rsid w:val="0FDE07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2025-04-14T01:15:00Z</dcterms:created>
  <dc:creator>小万19967457850</dc:creator>
  <cp:lastModifiedBy>小万19967457850</cp:lastModifiedBy>
  <dcterms:modified xsi:type="dcterms:W3CDTF">2025-04-14T01:15:57Z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4935145996974139B655E619C3CD958A_11</vt:lpwstr>
  </property>
  <property fmtid="{D5CDD505-2E9C-101B-9397-08002B2CF9AE}" pid="4" name="KSOTemplateDocerSaveRecord">
    <vt:lpwstr>eyJoZGlkIjoiYWE0MDMzNzM5OTNhOTBjNWI0Y2I3ZDU4OTZmNWFmMTAiLCJ1c2VySWQiOiI2MTA4MjQxMTUifQ==</vt:lpwstr>
  </property>
</Properties>
</file>