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Layout w:type="fixed"/>
        <w:tblCellMar>
          <w:top w:w="0" w:type="dxa"/>
          <w:left w:w="108" w:type="dxa"/>
          <w:bottom w:w="0" w:type="dxa"/>
          <w:right w:w="108" w:type="dxa"/>
        </w:tblCellMar>
      </w:tblPr>
      <w:tblGrid>
        <w:gridCol w:w="9033"/>
      </w:tblGrid>
      <w:tr w14:paraId="08BBA0A4">
        <w:tblPrEx>
          <w:tblCellMar>
            <w:top w:w="0" w:type="dxa"/>
            <w:left w:w="108" w:type="dxa"/>
            <w:bottom w:w="0" w:type="dxa"/>
            <w:right w:w="108" w:type="dxa"/>
          </w:tblCellMar>
        </w:tblPrEx>
        <w:trPr>
          <w:trHeight w:val="2850" w:hRule="atLeast"/>
        </w:trPr>
        <w:tc>
          <w:tcPr>
            <w:tcW w:w="9033" w:type="dxa"/>
            <w:noWrap w:val="0"/>
            <w:vAlign w:val="bottom"/>
          </w:tcPr>
          <w:p w14:paraId="4F0ABAF7">
            <w:pPr>
              <w:snapToGrid w:val="0"/>
              <w:spacing w:line="570" w:lineRule="exact"/>
              <w:jc w:val="right"/>
              <w:rPr>
                <w:rFonts w:ascii="黑体" w:hAnsi="Times New Roman" w:eastAsia="黑体" w:cs="Times New Roman"/>
              </w:rPr>
            </w:pPr>
            <w:r>
              <w:rPr>
                <w:rFonts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-68580</wp:posOffset>
                      </wp:positionH>
                      <wp:positionV relativeFrom="page">
                        <wp:posOffset>1061720</wp:posOffset>
                      </wp:positionV>
                      <wp:extent cx="5734050" cy="850900"/>
                      <wp:effectExtent l="0" t="0" r="0" b="0"/>
                      <wp:wrapTopAndBottom/>
                      <wp:docPr id="1" name="文本框 1"/>
                      <wp:cNvGraphicFramePr/>
                      <a:graphic xmlns:a="http://schemas.openxmlformats.org/drawingml/2006/main">
                        <a:graphicData uri="http://schemas.microsoft.com/office/word/2010/wordprocessingShape">
                          <wps:wsp>
                            <wps:cNvSpPr txBox="1"/>
                            <wps:spPr>
                              <a:xfrm>
                                <a:off x="0" y="0"/>
                                <a:ext cx="5734050" cy="850900"/>
                              </a:xfrm>
                              <a:prstGeom prst="rect">
                                <a:avLst/>
                              </a:prstGeom>
                              <a:noFill/>
                              <a:ln>
                                <a:noFill/>
                              </a:ln>
                            </wps:spPr>
                            <wps:txbx>
                              <w:txbxContent>
                                <w:p w14:paraId="57365A01">
                                  <w:pPr>
                                    <w:jc w:val="center"/>
                                    <w:rPr>
                                      <w:rFonts w:hint="eastAsia" w:ascii="方正小标宋简体" w:hAnsi="Times New Roman" w:eastAsia="方正小标宋简体" w:cs="Times New Roman"/>
                                      <w:color w:val="FF0000"/>
                                      <w:spacing w:val="-24"/>
                                      <w:w w:val="70"/>
                                      <w:sz w:val="104"/>
                                      <w:szCs w:val="104"/>
                                    </w:rPr>
                                  </w:pPr>
                                  <w:r>
                                    <w:rPr>
                                      <w:rFonts w:hint="eastAsia" w:ascii="方正小标宋简体" w:hAnsi="Times New Roman" w:eastAsia="方正小标宋简体" w:cs="Times New Roman"/>
                                      <w:color w:val="FF0000"/>
                                      <w:spacing w:val="-24"/>
                                      <w:w w:val="70"/>
                                      <w:sz w:val="104"/>
                                      <w:szCs w:val="104"/>
                                    </w:rPr>
                                    <w:t>泉州市人民政府办公室文件</w:t>
                                  </w:r>
                                </w:p>
                              </w:txbxContent>
                            </wps:txbx>
                            <wps:bodyPr lIns="0" tIns="0" rIns="0" bIns="0" upright="1"/>
                          </wps:wsp>
                        </a:graphicData>
                      </a:graphic>
                    </wp:anchor>
                  </w:drawing>
                </mc:Choice>
                <mc:Fallback>
                  <w:pict>
                    <v:shape id="_x0000_s1026" o:spid="_x0000_s1026" o:spt="202" type="#_x0000_t202" style="position:absolute;left:0pt;margin-left:-5.4pt;margin-top:83.6pt;height:67pt;width:451.5pt;mso-position-vertical-relative:page;mso-wrap-distance-bottom:0pt;mso-wrap-distance-top:0pt;z-index:251666432;mso-width-relative:page;mso-height-relative:page;" filled="f" stroked="f" coordsize="21600,21600" o:gfxdata="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GPPYH2QAAAAsBAAAPAAAAAAAAAAEAIAAAACIAAABkcnMvZG93bnJldi54bWxQSwEC&#10;FAAUAAAACACHTuJAqKNhOboBAAByAwAADgAAAAAAAAABACAAAAAoAQAAZHJzL2Uyb0RvYy54bWxQ&#10;SwUGAAAAAAYABgBZAQAAVAUAAAAA&#10;">
                      <v:path/>
                      <v:fill on="f" focussize="0,0"/>
                      <v:stroke on="f"/>
                      <v:imagedata o:title=""/>
                      <o:lock v:ext="edit" grouping="f" rotation="f" text="f" aspectratio="f"/>
                      <v:textbox inset="0mm,0mm,0mm,0mm">
                        <w:txbxContent>
                          <w:p w14:paraId="57365A01">
                            <w:pPr>
                              <w:jc w:val="center"/>
                              <w:rPr>
                                <w:rFonts w:hint="eastAsia" w:ascii="方正小标宋简体" w:hAnsi="Times New Roman" w:eastAsia="方正小标宋简体" w:cs="Times New Roman"/>
                                <w:color w:val="FF0000"/>
                                <w:spacing w:val="-24"/>
                                <w:w w:val="70"/>
                                <w:sz w:val="104"/>
                                <w:szCs w:val="104"/>
                              </w:rPr>
                            </w:pPr>
                            <w:r>
                              <w:rPr>
                                <w:rFonts w:hint="eastAsia" w:ascii="方正小标宋简体" w:hAnsi="Times New Roman" w:eastAsia="方正小标宋简体" w:cs="Times New Roman"/>
                                <w:color w:val="FF0000"/>
                                <w:spacing w:val="-24"/>
                                <w:w w:val="70"/>
                                <w:sz w:val="104"/>
                                <w:szCs w:val="104"/>
                              </w:rPr>
                              <w:t>泉州市人民政府办公室文件</w:t>
                            </w:r>
                          </w:p>
                        </w:txbxContent>
                      </v:textbox>
                      <w10:wrap type="topAndBottom"/>
                    </v:shape>
                  </w:pict>
                </mc:Fallback>
              </mc:AlternateContent>
            </w:r>
          </w:p>
        </w:tc>
      </w:tr>
    </w:tbl>
    <w:p w14:paraId="4369176B">
      <w:pPr>
        <w:snapToGrid w:val="0"/>
        <w:spacing w:line="570" w:lineRule="exact"/>
        <w:jc w:val="center"/>
        <w:rPr>
          <w:rFonts w:ascii="Times New Roman" w:hAnsi="Times New Roman" w:cs="Times New Roman"/>
          <w:bCs/>
        </w:rPr>
      </w:pPr>
    </w:p>
    <w:p w14:paraId="5440F5F1">
      <w:pPr>
        <w:snapToGrid w:val="0"/>
        <w:spacing w:line="570" w:lineRule="exact"/>
        <w:jc w:val="center"/>
        <w:rPr>
          <w:rFonts w:hint="eastAsia" w:ascii="宋体" w:hAnsi="宋体" w:eastAsia="宋体" w:cs="Times New Roman"/>
          <w:sz w:val="44"/>
        </w:rPr>
      </w:pPr>
      <w:r>
        <w:rPr>
          <w:rFonts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199390</wp:posOffset>
                </wp:positionV>
                <wp:extent cx="5716905" cy="4953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16905" cy="495300"/>
                        </a:xfrm>
                        <a:prstGeom prst="rect">
                          <a:avLst/>
                        </a:prstGeom>
                        <a:noFill/>
                        <a:ln>
                          <a:noFill/>
                        </a:ln>
                      </wps:spPr>
                      <wps:txbx>
                        <w:txbxContent>
                          <w:p w14:paraId="4123BF8C">
                            <w:pPr>
                              <w:snapToGrid w:val="0"/>
                              <w:spacing w:line="560" w:lineRule="atLeast"/>
                              <w:jc w:val="center"/>
                              <w:rPr>
                                <w:rFonts w:ascii="Times New Roman" w:hAnsi="Times New Roman" w:cs="Times New Roman"/>
                                <w:color w:val="000000"/>
                              </w:rPr>
                            </w:pPr>
                            <w:bookmarkStart w:id="5" w:name="机关代字"/>
                            <w:r>
                              <w:rPr>
                                <w:rFonts w:hint="eastAsia" w:ascii="Times New Roman" w:hAnsi="Times New Roman" w:eastAsia="方正仿宋简体" w:cs="Times New Roman"/>
                                <w:bCs/>
                                <w:color w:val="000000"/>
                                <w:lang w:eastAsia="zh-CN"/>
                              </w:rPr>
                              <w:t>泉政办规</w:t>
                            </w:r>
                            <w:bookmarkEnd w:id="5"/>
                            <w:r>
                              <w:rPr>
                                <w:rFonts w:hint="eastAsia" w:ascii="Times New Roman" w:hAnsi="Times New Roman" w:eastAsia="方正仿宋简体" w:cs="Times New Roman"/>
                                <w:bCs/>
                                <w:color w:val="000000"/>
                                <w:lang w:eastAsia="zh-CN"/>
                              </w:rPr>
                              <w:t>〔</w:t>
                            </w:r>
                            <w:bookmarkStart w:id="6" w:name="发文年号"/>
                            <w:r>
                              <w:rPr>
                                <w:rFonts w:hint="eastAsia" w:ascii="Times New Roman" w:hAnsi="Times New Roman" w:eastAsia="方正仿宋简体" w:cs="Times New Roman"/>
                                <w:bCs/>
                                <w:color w:val="000000"/>
                                <w:lang w:eastAsia="zh-CN"/>
                              </w:rPr>
                              <w:t>2022</w:t>
                            </w:r>
                            <w:bookmarkEnd w:id="6"/>
                            <w:r>
                              <w:rPr>
                                <w:rFonts w:hint="eastAsia" w:ascii="Times New Roman" w:hAnsi="Times New Roman" w:eastAsia="方正仿宋简体" w:cs="Times New Roman"/>
                                <w:bCs/>
                                <w:color w:val="000000"/>
                                <w:lang w:eastAsia="zh-CN"/>
                              </w:rPr>
                              <w:t>〕</w:t>
                            </w:r>
                            <w:bookmarkStart w:id="7" w:name="发文序号"/>
                            <w:r>
                              <w:rPr>
                                <w:rFonts w:hint="eastAsia" w:ascii="Times New Roman" w:hAnsi="Times New Roman" w:eastAsia="方正仿宋简体" w:cs="Times New Roman"/>
                                <w:bCs/>
                                <w:color w:val="000000"/>
                                <w:lang w:eastAsia="zh-CN"/>
                              </w:rPr>
                              <w:t>6</w:t>
                            </w:r>
                            <w:bookmarkEnd w:id="7"/>
                            <w:r>
                              <w:rPr>
                                <w:rFonts w:hint="eastAsia" w:ascii="Times New Roman" w:hAnsi="Times New Roman" w:eastAsia="方正仿宋简体" w:cs="Times New Roman"/>
                                <w:bCs/>
                                <w:color w:val="000000"/>
                                <w:lang w:eastAsia="zh-CN"/>
                              </w:rPr>
                              <w:t>号</w:t>
                            </w:r>
                          </w:p>
                        </w:txbxContent>
                      </wps:txbx>
                      <wps:bodyPr upright="1"/>
                    </wps:wsp>
                  </a:graphicData>
                </a:graphic>
              </wp:anchor>
            </w:drawing>
          </mc:Choice>
          <mc:Fallback>
            <w:pict>
              <v:shape id="_x0000_s1026" o:spid="_x0000_s1026" o:spt="202" type="#_x0000_t202" style="position:absolute;left:0pt;margin-left:-9pt;margin-top:15.7pt;height:39pt;width:450.15pt;z-index:251668480;mso-width-relative:page;mso-height-relative:page;" filled="f" stroked="f" coordsize="21600,21600" o:gfxdata="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376ZK&#10;2AAAAAoBAAAPAAAAAAAAAAEAIAAAACIAAABkcnMvZG93bnJldi54bWxQSwECFAAUAAAACACHTuJA&#10;tmlMOq8BAABOAwAADgAAAAAAAAABACAAAAAnAQAAZHJzL2Uyb0RvYy54bWxQSwUGAAAAAAYABgBZ&#10;AQAASAUAAAAA&#10;">
                <v:path/>
                <v:fill on="f" focussize="0,0"/>
                <v:stroke on="f"/>
                <v:imagedata o:title=""/>
                <o:lock v:ext="edit" grouping="f" rotation="f" text="f" aspectratio="f"/>
                <v:textbox>
                  <w:txbxContent>
                    <w:p w14:paraId="4123BF8C">
                      <w:pPr>
                        <w:snapToGrid w:val="0"/>
                        <w:spacing w:line="560" w:lineRule="atLeast"/>
                        <w:jc w:val="center"/>
                        <w:rPr>
                          <w:rFonts w:ascii="Times New Roman" w:hAnsi="Times New Roman" w:cs="Times New Roman"/>
                          <w:color w:val="000000"/>
                        </w:rPr>
                      </w:pPr>
                      <w:bookmarkStart w:id="5" w:name="机关代字"/>
                      <w:r>
                        <w:rPr>
                          <w:rFonts w:hint="eastAsia" w:ascii="Times New Roman" w:hAnsi="Times New Roman" w:eastAsia="方正仿宋简体" w:cs="Times New Roman"/>
                          <w:bCs/>
                          <w:color w:val="000000"/>
                          <w:lang w:eastAsia="zh-CN"/>
                        </w:rPr>
                        <w:t>泉政办规</w:t>
                      </w:r>
                      <w:bookmarkEnd w:id="5"/>
                      <w:r>
                        <w:rPr>
                          <w:rFonts w:hint="eastAsia" w:ascii="Times New Roman" w:hAnsi="Times New Roman" w:eastAsia="方正仿宋简体" w:cs="Times New Roman"/>
                          <w:bCs/>
                          <w:color w:val="000000"/>
                          <w:lang w:eastAsia="zh-CN"/>
                        </w:rPr>
                        <w:t>〔</w:t>
                      </w:r>
                      <w:bookmarkStart w:id="6" w:name="发文年号"/>
                      <w:r>
                        <w:rPr>
                          <w:rFonts w:hint="eastAsia" w:ascii="Times New Roman" w:hAnsi="Times New Roman" w:eastAsia="方正仿宋简体" w:cs="Times New Roman"/>
                          <w:bCs/>
                          <w:color w:val="000000"/>
                          <w:lang w:eastAsia="zh-CN"/>
                        </w:rPr>
                        <w:t>2022</w:t>
                      </w:r>
                      <w:bookmarkEnd w:id="6"/>
                      <w:r>
                        <w:rPr>
                          <w:rFonts w:hint="eastAsia" w:ascii="Times New Roman" w:hAnsi="Times New Roman" w:eastAsia="方正仿宋简体" w:cs="Times New Roman"/>
                          <w:bCs/>
                          <w:color w:val="000000"/>
                          <w:lang w:eastAsia="zh-CN"/>
                        </w:rPr>
                        <w:t>〕</w:t>
                      </w:r>
                      <w:bookmarkStart w:id="7" w:name="发文序号"/>
                      <w:r>
                        <w:rPr>
                          <w:rFonts w:hint="eastAsia" w:ascii="Times New Roman" w:hAnsi="Times New Roman" w:eastAsia="方正仿宋简体" w:cs="Times New Roman"/>
                          <w:bCs/>
                          <w:color w:val="000000"/>
                          <w:lang w:eastAsia="zh-CN"/>
                        </w:rPr>
                        <w:t>6</w:t>
                      </w:r>
                      <w:bookmarkEnd w:id="7"/>
                      <w:r>
                        <w:rPr>
                          <w:rFonts w:hint="eastAsia" w:ascii="Times New Roman" w:hAnsi="Times New Roman" w:eastAsia="方正仿宋简体" w:cs="Times New Roman"/>
                          <w:bCs/>
                          <w:color w:val="000000"/>
                          <w:lang w:eastAsia="zh-CN"/>
                        </w:rPr>
                        <w:t>号</w:t>
                      </w:r>
                    </w:p>
                  </w:txbxContent>
                </v:textbox>
              </v:shape>
            </w:pict>
          </mc:Fallback>
        </mc:AlternateContent>
      </w:r>
    </w:p>
    <w:p w14:paraId="4FFAD9A8">
      <w:pPr>
        <w:snapToGrid w:val="0"/>
        <w:spacing w:line="570" w:lineRule="exact"/>
        <w:jc w:val="center"/>
        <w:rPr>
          <w:rFonts w:hint="eastAsia" w:ascii="方正小标宋简体" w:hAnsi="宋体" w:eastAsia="方正小标宋简体" w:cs="Times New Roman"/>
          <w:sz w:val="39"/>
        </w:rPr>
      </w:pPr>
    </w:p>
    <w:p w14:paraId="48C16A2E">
      <w:pPr>
        <w:snapToGrid w:val="0"/>
        <w:spacing w:line="500" w:lineRule="exact"/>
        <w:jc w:val="center"/>
        <w:rPr>
          <w:rFonts w:hint="eastAsia" w:ascii="仿宋_GB2312" w:hAnsi="宋体" w:cs="Times New Roman"/>
        </w:rPr>
      </w:pPr>
      <w:bookmarkStart w:id="10" w:name="_GoBack"/>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60960</wp:posOffset>
                </wp:positionV>
                <wp:extent cx="5579745" cy="0"/>
                <wp:effectExtent l="0" t="12700" r="1905" b="15875"/>
                <wp:wrapNone/>
                <wp:docPr id="3" name="直接连接符 3"/>
                <wp:cNvGraphicFramePr/>
                <a:graphic xmlns:a="http://schemas.openxmlformats.org/drawingml/2006/main">
                  <a:graphicData uri="http://schemas.microsoft.com/office/word/2010/wordprocessingShape">
                    <wps:wsp>
                      <wps:cNvSpPr/>
                      <wps:spPr>
                        <a:xfrm>
                          <a:off x="0" y="0"/>
                          <a:ext cx="557974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8pt;height:0pt;width:439.35pt;z-index:251659264;mso-width-relative:page;mso-height-relative:page;" filled="f" coordsize="21600,21600" o:gfxdata="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LSnX+0wAAAAQBAAAPAAAAAAAAAAEAIAAAACIAAABkcnMvZG93bnJldi54bWxQSwEC&#10;FAAUAAAACACHTuJADnygSfkBAADlAwAADgAAAAAAAAABACAAAAAiAQAAZHJzL2Uyb0RvYy54bWxQ&#10;SwUGAAAAAAYABgBZAQAAjQUAAAAA&#10;">
                <v:path arrowok="t"/>
                <v:fill on="f" focussize="0,0"/>
                <v:stroke weight="2pt" color="#FF0000"/>
                <v:imagedata o:title=""/>
                <o:lock v:ext="edit" grouping="f" rotation="f" text="f" aspectratio="f"/>
              </v:line>
            </w:pict>
          </mc:Fallback>
        </mc:AlternateContent>
      </w:r>
      <w:bookmarkEnd w:id="10"/>
    </w:p>
    <w:p w14:paraId="1C07F068">
      <w:pPr>
        <w:spacing w:line="500" w:lineRule="exact"/>
        <w:rPr>
          <w:rFonts w:hint="eastAsia" w:ascii="方正仿宋简体" w:hAnsi="宋体" w:eastAsia="方正仿宋简体" w:cs="Times New Roman"/>
          <w:bCs/>
        </w:rPr>
      </w:pPr>
      <w:r>
        <w:rPr>
          <w:rFonts w:hint="eastAsia" w:ascii="方正仿宋简体" w:hAnsi="宋体" w:eastAsia="方正仿宋简体" w:cs="Times New Roman"/>
          <w:bCs/>
        </w:rPr>
        <w:t xml:space="preserve">                           </w:t>
      </w:r>
    </w:p>
    <w:p w14:paraId="7FCABA03">
      <w:pPr>
        <w:snapToGrid w:val="0"/>
        <w:spacing w:line="500" w:lineRule="exact"/>
        <w:jc w:val="center"/>
        <w:rPr>
          <w:rFonts w:hint="eastAsia" w:ascii="方正小标宋简体" w:hAnsi="宋体" w:eastAsia="方正小标宋简体" w:cs="Times New Roman"/>
          <w:sz w:val="44"/>
          <w:szCs w:val="44"/>
          <w:lang w:eastAsia="zh-CN"/>
        </w:rPr>
      </w:pPr>
      <w:bookmarkStart w:id="0" w:name="repe_正题名"/>
      <w:r>
        <w:rPr>
          <w:rFonts w:hint="eastAsia" w:ascii="方正小标宋简体" w:hAnsi="宋体" w:eastAsia="方正小标宋简体" w:cs="Times New Roman"/>
          <w:sz w:val="44"/>
          <w:szCs w:val="44"/>
          <w:lang w:eastAsia="zh-CN"/>
        </w:rPr>
        <w:t>泉州市人民政府办公室关于印发泉州市</w:t>
      </w:r>
    </w:p>
    <w:p w14:paraId="27F81DEF">
      <w:pPr>
        <w:snapToGrid w:val="0"/>
        <w:spacing w:line="50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lang w:eastAsia="zh-CN"/>
        </w:rPr>
        <w:t>“基础教育人才引进行动”工作方案的通知</w:t>
      </w:r>
      <w:bookmarkEnd w:id="0"/>
    </w:p>
    <w:p w14:paraId="0F9B7B3B">
      <w:pPr>
        <w:spacing w:line="500" w:lineRule="exact"/>
        <w:rPr>
          <w:rFonts w:hint="eastAsia" w:ascii="方正仿宋简体" w:hAnsi="宋体" w:eastAsia="方正仿宋简体" w:cs="Times New Roman"/>
          <w:bCs/>
        </w:rPr>
      </w:pPr>
    </w:p>
    <w:p w14:paraId="4C64735A">
      <w:pPr>
        <w:spacing w:line="520" w:lineRule="exact"/>
        <w:rPr>
          <w:rFonts w:hint="default" w:ascii="Times New Roman" w:hAnsi="Times New Roman" w:eastAsia="方正仿宋简体" w:cs="Times New Roman"/>
          <w:color w:val="000000"/>
        </w:rPr>
      </w:pPr>
      <w:bookmarkStart w:id="1" w:name="repe_主送单位"/>
      <w:r>
        <w:rPr>
          <w:rFonts w:hint="default" w:ascii="Times New Roman" w:hAnsi="Times New Roman" w:eastAsia="方正仿宋简体" w:cs="Times New Roman"/>
          <w:bCs/>
          <w:color w:val="000000"/>
          <w:lang w:eastAsia="zh-CN"/>
        </w:rPr>
        <w:t>各县（市、区）人民政府，泉州开发区、泉州台商投资区管委会，市人民政府各部门、各直属机构，各大企业，各高等院校</w:t>
      </w:r>
      <w:bookmarkEnd w:id="1"/>
      <w:r>
        <w:rPr>
          <w:rFonts w:hint="default" w:ascii="Times New Roman" w:hAnsi="Times New Roman" w:eastAsia="方正仿宋简体" w:cs="Times New Roman"/>
          <w:color w:val="000000"/>
        </w:rPr>
        <w:t>：</w:t>
      </w:r>
    </w:p>
    <w:p w14:paraId="2292A4C0">
      <w:pPr>
        <w:spacing w:line="520" w:lineRule="exact"/>
        <w:ind w:firstLine="632" w:firstLineChars="200"/>
        <w:rPr>
          <w:rFonts w:hint="default" w:ascii="Times New Roman" w:hAnsi="Times New Roman" w:eastAsia="方正仿宋简体" w:cs="Times New Roman"/>
          <w:color w:val="000000"/>
        </w:rPr>
      </w:pPr>
      <w:bookmarkStart w:id="2" w:name="正文"/>
      <w:bookmarkStart w:id="3" w:name="MainBody"/>
      <w:r>
        <w:rPr>
          <w:rFonts w:hint="default" w:ascii="Times New Roman" w:hAnsi="Times New Roman" w:eastAsia="方正仿宋简体" w:cs="Times New Roman"/>
          <w:bCs/>
          <w:color w:val="000000"/>
          <w:lang w:eastAsia="zh-CN"/>
        </w:rPr>
        <w:t>《泉州市“基础教育人才引进行动”工作方案》已经市政府研究通过，现印发给你们，请认真遵照执行。</w:t>
      </w:r>
      <w:bookmarkEnd w:id="2"/>
      <w:bookmarkEnd w:id="3"/>
    </w:p>
    <w:p w14:paraId="65F1E820">
      <w:pPr>
        <w:spacing w:line="500" w:lineRule="exact"/>
        <w:ind w:left="3011" w:leftChars="192" w:right="1264" w:rightChars="400" w:hanging="2405" w:hangingChars="791"/>
        <w:rPr>
          <w:rFonts w:hint="default" w:ascii="Times New Roman" w:hAnsi="Times New Roman" w:eastAsia="方正仿宋简体" w:cs="Times New Roman"/>
          <w:color w:val="000000"/>
          <w:spacing w:val="-6"/>
        </w:rPr>
      </w:pPr>
    </w:p>
    <w:p w14:paraId="41FA9935">
      <w:pPr>
        <w:spacing w:line="500" w:lineRule="exact"/>
        <w:ind w:left="3011" w:leftChars="192" w:right="1264" w:rightChars="400" w:hanging="2405" w:hangingChars="791"/>
        <w:rPr>
          <w:rFonts w:hint="default" w:ascii="Times New Roman" w:hAnsi="Times New Roman" w:eastAsia="方正仿宋简体" w:cs="Times New Roman"/>
          <w:color w:val="000000"/>
          <w:spacing w:val="-6"/>
        </w:rPr>
      </w:pPr>
    </w:p>
    <w:p w14:paraId="2AC2F75C">
      <w:pPr>
        <w:spacing w:line="500" w:lineRule="exact"/>
        <w:ind w:left="3011" w:leftChars="192" w:right="1264" w:rightChars="400" w:hanging="2405" w:hangingChars="791"/>
        <w:rPr>
          <w:rFonts w:hint="default" w:ascii="Times New Roman" w:hAnsi="Times New Roman" w:eastAsia="方正仿宋简体" w:cs="Times New Roman"/>
          <w:color w:val="000000"/>
          <w:spacing w:val="-6"/>
        </w:rPr>
      </w:pPr>
    </w:p>
    <w:p w14:paraId="192EADDF">
      <w:pPr>
        <w:spacing w:line="400" w:lineRule="exact"/>
        <w:ind w:left="3011" w:leftChars="192" w:right="941" w:rightChars="298" w:hanging="2405" w:hangingChars="791"/>
        <w:jc w:val="right"/>
        <w:rPr>
          <w:rFonts w:hint="default" w:ascii="Times New Roman" w:hAnsi="Times New Roman" w:eastAsia="方正仿宋简体" w:cs="Times New Roman"/>
          <w:color w:val="000000"/>
          <w:spacing w:val="-6"/>
          <w:szCs w:val="32"/>
        </w:rPr>
      </w:pPr>
      <w:r>
        <w:rPr>
          <w:rFonts w:hint="default" w:ascii="Times New Roman" w:hAnsi="Times New Roman" w:eastAsia="方正仿宋简体" w:cs="Times New Roman"/>
          <w:color w:val="000000"/>
          <w:spacing w:val="-6"/>
          <w:szCs w:val="32"/>
        </w:rPr>
        <w:t>泉州市人民政府办公室</w:t>
      </w:r>
    </w:p>
    <w:p w14:paraId="6FCF01D7">
      <w:pPr>
        <w:spacing w:line="400" w:lineRule="exact"/>
        <w:ind w:left="3011" w:leftChars="192" w:right="1264" w:rightChars="400" w:hanging="2405" w:hangingChars="791"/>
        <w:jc w:val="right"/>
        <w:rPr>
          <w:rFonts w:hint="default" w:ascii="Times New Roman" w:hAnsi="Times New Roman" w:eastAsia="方正仿宋简体" w:cs="Times New Roman"/>
          <w:color w:val="000000"/>
          <w:spacing w:val="-6"/>
          <w:szCs w:val="32"/>
        </w:rPr>
      </w:pPr>
    </w:p>
    <w:p w14:paraId="6A1DCA59">
      <w:pPr>
        <w:spacing w:line="400" w:lineRule="exact"/>
        <w:ind w:left="3011" w:leftChars="192" w:right="1264" w:rightChars="400" w:hanging="2405" w:hangingChars="791"/>
        <w:jc w:val="right"/>
        <w:rPr>
          <w:rFonts w:hint="default" w:ascii="Times New Roman" w:hAnsi="Times New Roman" w:eastAsia="方正仿宋简体" w:cs="Times New Roman"/>
          <w:color w:val="000000"/>
          <w:spacing w:val="-6"/>
          <w:szCs w:val="32"/>
        </w:rPr>
      </w:pPr>
      <w:r>
        <w:rPr>
          <w:rFonts w:hint="default" w:ascii="Times New Roman" w:hAnsi="Times New Roman" w:eastAsia="方正仿宋简体" w:cs="Times New Roman"/>
          <w:color w:val="000000"/>
          <w:spacing w:val="-6"/>
          <w:szCs w:val="32"/>
        </w:rPr>
        <w:t xml:space="preserve"> 20</w:t>
      </w:r>
      <w:r>
        <w:rPr>
          <w:rFonts w:hint="default" w:ascii="Times New Roman" w:hAnsi="Times New Roman" w:eastAsia="方正仿宋简体" w:cs="Times New Roman"/>
          <w:color w:val="000000"/>
          <w:spacing w:val="-6"/>
          <w:szCs w:val="32"/>
          <w:lang w:val="en-US" w:eastAsia="zh-CN"/>
        </w:rPr>
        <w:t>22</w:t>
      </w:r>
      <w:r>
        <w:rPr>
          <w:rFonts w:hint="default" w:ascii="Times New Roman" w:hAnsi="Times New Roman" w:eastAsia="方正仿宋简体" w:cs="Times New Roman"/>
          <w:color w:val="000000"/>
          <w:spacing w:val="-6"/>
          <w:szCs w:val="32"/>
        </w:rPr>
        <w:t>年</w:t>
      </w:r>
      <w:r>
        <w:rPr>
          <w:rFonts w:hint="default" w:ascii="Times New Roman" w:hAnsi="Times New Roman" w:eastAsia="方正仿宋简体" w:cs="Times New Roman"/>
          <w:color w:val="000000"/>
          <w:spacing w:val="-6"/>
          <w:szCs w:val="32"/>
          <w:lang w:val="en-US" w:eastAsia="zh-CN"/>
        </w:rPr>
        <w:t>10</w:t>
      </w:r>
      <w:r>
        <w:rPr>
          <w:rFonts w:hint="default" w:ascii="Times New Roman" w:hAnsi="Times New Roman" w:eastAsia="方正仿宋简体" w:cs="Times New Roman"/>
          <w:color w:val="000000"/>
          <w:spacing w:val="-6"/>
          <w:szCs w:val="32"/>
        </w:rPr>
        <w:t>月</w:t>
      </w:r>
      <w:r>
        <w:rPr>
          <w:rFonts w:hint="eastAsia" w:ascii="Times New Roman" w:hAnsi="Times New Roman" w:eastAsia="方正仿宋简体" w:cs="Times New Roman"/>
          <w:color w:val="000000"/>
          <w:spacing w:val="-6"/>
          <w:szCs w:val="32"/>
          <w:lang w:eastAsia="zh-CN"/>
        </w:rPr>
        <w:t>2</w:t>
      </w:r>
      <w:r>
        <w:rPr>
          <w:rFonts w:hint="eastAsia" w:ascii="Times New Roman" w:hAnsi="Times New Roman" w:eastAsia="方正仿宋简体" w:cs="Times New Roman"/>
          <w:color w:val="000000"/>
          <w:spacing w:val="-6"/>
          <w:szCs w:val="32"/>
          <w:lang w:val="en-US" w:eastAsia="zh-CN"/>
        </w:rPr>
        <w:t>4</w:t>
      </w:r>
      <w:r>
        <w:rPr>
          <w:rFonts w:hint="default" w:ascii="Times New Roman" w:hAnsi="Times New Roman" w:eastAsia="方正仿宋简体" w:cs="Times New Roman"/>
          <w:color w:val="000000"/>
          <w:spacing w:val="-6"/>
          <w:szCs w:val="32"/>
        </w:rPr>
        <w:t>日</w:t>
      </w:r>
    </w:p>
    <w:p w14:paraId="784C19C9">
      <w:pPr>
        <w:spacing w:line="570" w:lineRule="exact"/>
        <w:ind w:right="1264" w:rightChars="400" w:firstLine="608" w:firstLineChars="200"/>
        <w:rPr>
          <w:rFonts w:hint="default" w:ascii="Times New Roman" w:hAnsi="Times New Roman" w:eastAsia="方正仿宋简体" w:cs="Times New Roman"/>
          <w:color w:val="000000"/>
          <w:spacing w:val="-6"/>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1417" w:gutter="0"/>
          <w:pgBorders w:offsetFrom="page">
            <w:top w:val="none" w:sz="0" w:space="0"/>
            <w:left w:val="none" w:sz="0" w:space="0"/>
            <w:bottom w:val="none" w:sz="0" w:space="0"/>
            <w:right w:val="none" w:sz="0" w:space="0"/>
          </w:pgBorders>
          <w:cols w:space="720" w:num="1"/>
          <w:docGrid w:type="linesAndChars" w:linePitch="579" w:charSpace="-849"/>
        </w:sectPr>
      </w:pPr>
      <w:bookmarkStart w:id="4" w:name="repe_此件公开属性"/>
      <w:r>
        <w:rPr>
          <w:rFonts w:hint="default" w:ascii="Times New Roman" w:hAnsi="Times New Roman" w:eastAsia="方正仿宋简体" w:cs="Times New Roman"/>
          <w:color w:val="000000"/>
          <w:spacing w:val="-6"/>
          <w:lang w:eastAsia="zh-CN"/>
        </w:rPr>
        <w:t>（此件主动公开）</w:t>
      </w:r>
    </w:p>
    <w:p w14:paraId="64103C03">
      <w:pPr>
        <w:adjustRightInd w:val="0"/>
        <w:snapToGrid w:val="0"/>
        <w:spacing w:line="570" w:lineRule="exact"/>
        <w:jc w:val="center"/>
        <w:rPr>
          <w:rFonts w:hint="eastAsia" w:ascii="方正小标宋简体" w:hAnsi="方正小标宋简体" w:eastAsia="方正小标宋简体" w:cs="方正小标宋简体"/>
          <w:color w:val="000000"/>
          <w:spacing w:val="0"/>
          <w:sz w:val="44"/>
          <w:szCs w:val="44"/>
          <w:highlight w:val="none"/>
        </w:rPr>
      </w:pPr>
      <w:r>
        <w:rPr>
          <w:rFonts w:hint="eastAsia" w:ascii="方正小标宋简体" w:hAnsi="方正小标宋简体" w:eastAsia="方正小标宋简体" w:cs="方正小标宋简体"/>
          <w:color w:val="000000"/>
          <w:spacing w:val="0"/>
          <w:sz w:val="44"/>
          <w:szCs w:val="44"/>
          <w:highlight w:val="none"/>
        </w:rPr>
        <w:t>泉州市“基础教育人才引进行动”工作方案</w:t>
      </w:r>
    </w:p>
    <w:p w14:paraId="32233E6C">
      <w:pPr>
        <w:adjustRightInd w:val="0"/>
        <w:snapToGrid w:val="0"/>
        <w:spacing w:line="570" w:lineRule="exact"/>
        <w:rPr>
          <w:rFonts w:hint="default" w:ascii="Times New Roman" w:hAnsi="Times New Roman" w:eastAsia="方正仿宋简体" w:cs="Times New Roman"/>
          <w:color w:val="000000"/>
          <w:highlight w:val="none"/>
        </w:rPr>
      </w:pPr>
    </w:p>
    <w:p w14:paraId="0684572F">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为贯彻落实人才强教和教育优先发展战略，大力引进和培养高层次基础教育人才，促进教育高质量发展，根据《泉州市人民政府办公室关于印发泉州市高层次人才认定和团队评审及政策支持规定的通知》（泉政办〔2021〕29号）和“十四五”教育人才揽蓄行动要求，结合我市教育发展实际，制定本方案。</w:t>
      </w:r>
    </w:p>
    <w:p w14:paraId="627E24E7">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黑体简体" w:hAnsi="方正黑体简体" w:eastAsia="方正黑体简体" w:cs="方正黑体简体"/>
          <w:color w:val="000000"/>
          <w:highlight w:val="none"/>
        </w:rPr>
      </w:pPr>
      <w:r>
        <w:rPr>
          <w:rFonts w:hint="eastAsia" w:ascii="方正黑体简体" w:hAnsi="方正黑体简体" w:eastAsia="方正黑体简体" w:cs="方正黑体简体"/>
          <w:color w:val="000000"/>
          <w:highlight w:val="none"/>
        </w:rPr>
        <w:t>一、引聘高校优质毕业生条件及待遇</w:t>
      </w:r>
    </w:p>
    <w:p w14:paraId="1AE93ED5">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实施基础教育引才“百千”行动，至2025年引聘百名博士研究生、千名硕士研究生和教育部属院校本科毕业生到我市基础教育学校任教；2026年起持续稳步推进引才行动，重点引聘博士研究生人才。</w:t>
      </w:r>
    </w:p>
    <w:p w14:paraId="74FE43D8">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楷体简体" w:hAnsi="方正楷体简体" w:eastAsia="方正楷体简体" w:cs="方正楷体简体"/>
          <w:b w:val="0"/>
          <w:bCs w:val="0"/>
          <w:color w:val="000000"/>
          <w:highlight w:val="none"/>
        </w:rPr>
      </w:pPr>
      <w:r>
        <w:rPr>
          <w:rFonts w:hint="eastAsia" w:ascii="方正楷体简体" w:hAnsi="方正楷体简体" w:eastAsia="方正楷体简体" w:cs="方正楷体简体"/>
          <w:b w:val="0"/>
          <w:bCs w:val="0"/>
          <w:color w:val="000000"/>
          <w:highlight w:val="none"/>
        </w:rPr>
        <w:t>（一）引聘条件</w:t>
      </w:r>
    </w:p>
    <w:p w14:paraId="3C7DA27C">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1.年龄不超过40周岁的普通高等院校博士学位、研究生学历毕业生（以下简称“博士研究生”）。</w:t>
      </w:r>
    </w:p>
    <w:p w14:paraId="0C4D3B79">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2.年龄不超过35周岁的普通高等院校硕士学位、研究生学历毕业生和北京师范大学、华东师范大学、华中师范大学、东北师范大学、陕西师范大学、西南大学等</w:t>
      </w:r>
      <w:r>
        <w:rPr>
          <w:rFonts w:hint="default" w:ascii="Times New Roman" w:hAnsi="Times New Roman" w:eastAsia="方正仿宋简体" w:cs="Times New Roman"/>
          <w:color w:val="000000"/>
          <w:highlight w:val="none"/>
          <w:lang w:eastAsia="zh-CN"/>
        </w:rPr>
        <w:t>6</w:t>
      </w:r>
      <w:r>
        <w:rPr>
          <w:rFonts w:hint="default" w:ascii="Times New Roman" w:hAnsi="Times New Roman" w:eastAsia="方正仿宋简体" w:cs="Times New Roman"/>
          <w:color w:val="000000"/>
          <w:highlight w:val="none"/>
        </w:rPr>
        <w:t>所教育部属院校学士学位、本科学历毕业生（以下简称“硕士研究生、部属院校本科毕业生”）。</w:t>
      </w:r>
    </w:p>
    <w:p w14:paraId="096BE908">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方正楷体简体" w:hAnsi="方正楷体简体" w:eastAsia="方正楷体简体" w:cs="方正楷体简体"/>
          <w:b w:val="0"/>
          <w:bCs w:val="0"/>
          <w:color w:val="000000"/>
          <w:highlight w:val="none"/>
        </w:rPr>
      </w:pPr>
      <w:r>
        <w:rPr>
          <w:rFonts w:hint="default" w:ascii="方正楷体简体" w:hAnsi="方正楷体简体" w:eastAsia="方正楷体简体" w:cs="方正楷体简体"/>
          <w:b w:val="0"/>
          <w:bCs w:val="0"/>
          <w:color w:val="000000"/>
          <w:highlight w:val="none"/>
        </w:rPr>
        <w:t>（二）政策待遇</w:t>
      </w:r>
    </w:p>
    <w:p w14:paraId="3D9CBFD7">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1.给予事业编制保障和招聘优惠政策。</w:t>
      </w:r>
      <w:r>
        <w:rPr>
          <w:rFonts w:hint="default" w:ascii="Times New Roman" w:hAnsi="Times New Roman" w:eastAsia="方正仿宋简体" w:cs="Times New Roman"/>
          <w:color w:val="000000"/>
          <w:highlight w:val="none"/>
          <w:lang w:eastAsia="zh-CN"/>
        </w:rPr>
        <w:t>从</w:t>
      </w:r>
      <w:r>
        <w:rPr>
          <w:rFonts w:hint="default" w:ascii="Times New Roman" w:hAnsi="Times New Roman" w:eastAsia="方正仿宋简体" w:cs="Times New Roman"/>
          <w:color w:val="000000"/>
          <w:highlight w:val="none"/>
        </w:rPr>
        <w:t>年度招聘计划中拿出一定比例用于引进符合条件的优质高校毕业生</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博士研究生采取考核方式常年公开招聘；硕士研究生、部属院校本科毕业生可按照专项招聘政策公开招聘。</w:t>
      </w:r>
    </w:p>
    <w:p w14:paraId="0F44F182">
      <w:pPr>
        <w:pStyle w:val="2"/>
        <w:keepNext w:val="0"/>
        <w:keepLines w:val="0"/>
        <w:pageBreakBefore w:val="0"/>
        <w:kinsoku/>
        <w:wordWrap/>
        <w:overflowPunct/>
        <w:topLinePunct w:val="0"/>
        <w:autoSpaceDE/>
        <w:autoSpaceDN/>
        <w:bidi w:val="0"/>
        <w:spacing w:line="570" w:lineRule="exact"/>
        <w:ind w:left="0" w:leftChars="0" w:firstLine="0" w:firstLineChars="0"/>
        <w:textAlignment w:val="auto"/>
        <w:rPr>
          <w:rFonts w:hint="default" w:ascii="Times New Roman" w:hAnsi="Times New Roman" w:eastAsia="方正仿宋简体" w:cs="Times New Roman"/>
          <w:color w:val="000000"/>
          <w:highlight w:val="none"/>
          <w:lang w:val="en-US" w:eastAsia="zh-CN"/>
        </w:rPr>
      </w:pPr>
      <w:r>
        <w:rPr>
          <w:rFonts w:hint="default" w:ascii="Times New Roman" w:hAnsi="Times New Roman" w:eastAsia="方正仿宋简体" w:cs="Times New Roman"/>
          <w:color w:val="000000"/>
          <w:highlight w:val="none"/>
          <w:lang w:val="en-US" w:eastAsia="zh-CN"/>
        </w:rPr>
        <w:t xml:space="preserve">    </w:t>
      </w:r>
      <w:r>
        <w:rPr>
          <w:rFonts w:hint="default" w:ascii="Times New Roman" w:hAnsi="Times New Roman" w:eastAsia="方正仿宋简体" w:cs="Times New Roman"/>
          <w:color w:val="000000"/>
          <w:sz w:val="32"/>
          <w:szCs w:val="32"/>
          <w:highlight w:val="none"/>
        </w:rPr>
        <w:t>责任单位：</w:t>
      </w:r>
      <w:r>
        <w:rPr>
          <w:rFonts w:hint="default" w:ascii="Times New Roman" w:hAnsi="Times New Roman" w:eastAsia="方正仿宋简体" w:cs="Times New Roman"/>
          <w:color w:val="000000"/>
          <w:sz w:val="32"/>
          <w:szCs w:val="32"/>
          <w:highlight w:val="none"/>
          <w:lang w:eastAsia="zh-CN"/>
        </w:rPr>
        <w:t>市委编办，</w:t>
      </w:r>
      <w:r>
        <w:rPr>
          <w:rFonts w:hint="default" w:ascii="Times New Roman" w:hAnsi="Times New Roman" w:eastAsia="方正仿宋简体" w:cs="Times New Roman"/>
          <w:color w:val="000000"/>
          <w:sz w:val="32"/>
          <w:szCs w:val="32"/>
          <w:highlight w:val="none"/>
        </w:rPr>
        <w:t>市人社局，各县（市、区）人民政府，泉州开发区、泉州台商投资区管委会</w:t>
      </w:r>
    </w:p>
    <w:p w14:paraId="262BC233">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2.给予职称直聘政策和快速晋升通道。</w:t>
      </w:r>
      <w:r>
        <w:rPr>
          <w:rFonts w:hint="default" w:ascii="Times New Roman" w:hAnsi="Times New Roman" w:eastAsia="方正仿宋简体" w:cs="Times New Roman"/>
          <w:color w:val="000000"/>
          <w:highlight w:val="none"/>
        </w:rPr>
        <w:t>引聘紧缺急需专业的博士研究生</w:t>
      </w:r>
      <w:r>
        <w:rPr>
          <w:rFonts w:hint="default" w:ascii="Times New Roman" w:hAnsi="Times New Roman" w:eastAsia="方正仿宋简体" w:cs="Times New Roman"/>
          <w:color w:val="000000"/>
          <w:highlight w:val="none"/>
          <w:lang w:eastAsia="zh-CN"/>
        </w:rPr>
        <w:t>首次聘任</w:t>
      </w:r>
      <w:r>
        <w:rPr>
          <w:rFonts w:hint="default" w:ascii="Times New Roman" w:hAnsi="Times New Roman" w:eastAsia="方正仿宋简体" w:cs="Times New Roman"/>
          <w:color w:val="000000"/>
          <w:highlight w:val="none"/>
        </w:rPr>
        <w:t>高级职称相应等级，硕士研究生、部属院校本科毕业生首次聘任中级职称相应等级可不受职数限制，实行专项管理。经考核，教育教学成效好的博士研究生可作为学校校级后备干部进行重点培养；教育教学成效好的硕士研究生、部属院校本科毕业生可作为学校中层后备干部进行重点培养。</w:t>
      </w:r>
    </w:p>
    <w:p w14:paraId="627A91A7">
      <w:pPr>
        <w:pStyle w:val="2"/>
        <w:keepNext w:val="0"/>
        <w:keepLines w:val="0"/>
        <w:pageBreakBefore w:val="0"/>
        <w:kinsoku/>
        <w:wordWrap/>
        <w:overflowPunct/>
        <w:topLinePunct w:val="0"/>
        <w:autoSpaceDE/>
        <w:autoSpaceDN/>
        <w:bidi w:val="0"/>
        <w:spacing w:line="570" w:lineRule="exact"/>
        <w:ind w:left="0" w:leftChars="0" w:firstLine="0" w:firstLineChars="0"/>
        <w:textAlignment w:val="auto"/>
        <w:rPr>
          <w:rFonts w:hint="default" w:ascii="Times New Roman" w:hAnsi="Times New Roman" w:eastAsia="方正仿宋简体" w:cs="Times New Roman"/>
          <w:color w:val="000000"/>
          <w:highlight w:val="none"/>
          <w:lang w:val="en-US" w:eastAsia="zh-CN"/>
        </w:rPr>
      </w:pPr>
      <w:r>
        <w:rPr>
          <w:rFonts w:hint="default" w:ascii="Times New Roman" w:hAnsi="Times New Roman" w:eastAsia="方正仿宋简体" w:cs="Times New Roman"/>
          <w:color w:val="000000"/>
          <w:highlight w:val="none"/>
          <w:lang w:val="en-US" w:eastAsia="zh-CN"/>
        </w:rPr>
        <w:t xml:space="preserve">    </w:t>
      </w:r>
      <w:r>
        <w:rPr>
          <w:rFonts w:hint="default" w:ascii="Times New Roman" w:hAnsi="Times New Roman" w:eastAsia="方正仿宋简体" w:cs="Times New Roman"/>
          <w:color w:val="000000"/>
          <w:kern w:val="2"/>
          <w:sz w:val="32"/>
          <w:szCs w:val="32"/>
          <w:highlight w:val="none"/>
          <w:lang w:val="en-US" w:eastAsia="zh-CN" w:bidi="ar-SA"/>
        </w:rPr>
        <w:t>责任单位：市人社局、教育局，</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1202E411">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3.从优给予经济补助。</w:t>
      </w:r>
      <w:r>
        <w:rPr>
          <w:rFonts w:hint="default" w:ascii="Times New Roman" w:hAnsi="Times New Roman" w:eastAsia="方正仿宋简体" w:cs="Times New Roman"/>
          <w:color w:val="000000"/>
          <w:highlight w:val="none"/>
        </w:rPr>
        <w:t>符合我市</w:t>
      </w:r>
      <w:r>
        <w:rPr>
          <w:rFonts w:hint="default" w:ascii="Times New Roman" w:hAnsi="Times New Roman" w:eastAsia="方正仿宋简体" w:cs="Times New Roman"/>
          <w:color w:val="000000"/>
          <w:highlight w:val="none"/>
          <w:lang w:eastAsia="zh-CN"/>
        </w:rPr>
        <w:t>引进类</w:t>
      </w:r>
      <w:r>
        <w:rPr>
          <w:rFonts w:hint="default" w:ascii="Times New Roman" w:hAnsi="Times New Roman" w:eastAsia="方正仿宋简体" w:cs="Times New Roman"/>
          <w:color w:val="000000"/>
          <w:highlight w:val="none"/>
        </w:rPr>
        <w:t>第</w:t>
      </w:r>
      <w:r>
        <w:rPr>
          <w:rFonts w:hint="default" w:ascii="Times New Roman" w:hAnsi="Times New Roman" w:eastAsia="方正仿宋简体" w:cs="Times New Roman"/>
          <w:color w:val="000000"/>
          <w:highlight w:val="none"/>
          <w:lang w:val="en-US" w:eastAsia="zh-CN"/>
        </w:rPr>
        <w:t>五</w:t>
      </w:r>
      <w:r>
        <w:rPr>
          <w:rFonts w:hint="default" w:ascii="Times New Roman" w:hAnsi="Times New Roman" w:eastAsia="方正仿宋简体" w:cs="Times New Roman"/>
          <w:color w:val="000000"/>
          <w:highlight w:val="none"/>
        </w:rPr>
        <w:t>层次人才</w:t>
      </w:r>
      <w:r>
        <w:rPr>
          <w:rFonts w:hint="default" w:ascii="Times New Roman" w:hAnsi="Times New Roman" w:eastAsia="方正仿宋简体" w:cs="Times New Roman"/>
          <w:color w:val="000000"/>
          <w:highlight w:val="none"/>
          <w:lang w:eastAsia="zh-CN"/>
        </w:rPr>
        <w:t>条件的</w:t>
      </w:r>
      <w:r>
        <w:rPr>
          <w:rFonts w:hint="default" w:ascii="Times New Roman" w:hAnsi="Times New Roman" w:eastAsia="方正仿宋简体" w:cs="Times New Roman"/>
          <w:color w:val="000000"/>
          <w:highlight w:val="none"/>
        </w:rPr>
        <w:t>博士研究生可享受</w:t>
      </w:r>
      <w:r>
        <w:rPr>
          <w:rFonts w:hint="default" w:ascii="Times New Roman" w:hAnsi="Times New Roman" w:eastAsia="方正仿宋简体" w:cs="Times New Roman"/>
          <w:color w:val="000000"/>
          <w:highlight w:val="none"/>
          <w:lang w:eastAsia="zh-CN"/>
        </w:rPr>
        <w:t>最高</w:t>
      </w:r>
      <w:r>
        <w:rPr>
          <w:rFonts w:hint="default" w:ascii="Times New Roman" w:hAnsi="Times New Roman" w:eastAsia="方正仿宋简体" w:cs="Times New Roman"/>
          <w:color w:val="000000"/>
          <w:highlight w:val="none"/>
          <w:lang w:val="en-US" w:eastAsia="zh-CN"/>
        </w:rPr>
        <w:t>30</w:t>
      </w:r>
      <w:r>
        <w:rPr>
          <w:rFonts w:hint="default" w:ascii="Times New Roman" w:hAnsi="Times New Roman" w:eastAsia="方正仿宋简体" w:cs="Times New Roman"/>
          <w:color w:val="000000"/>
          <w:highlight w:val="none"/>
        </w:rPr>
        <w:t>万元的补助，即除按泉政办〔2021〕29号文</w:t>
      </w:r>
      <w:r>
        <w:rPr>
          <w:rFonts w:hint="default" w:ascii="Times New Roman" w:hAnsi="Times New Roman" w:eastAsia="方正仿宋简体" w:cs="Times New Roman"/>
          <w:color w:val="000000"/>
          <w:highlight w:val="none"/>
          <w:lang w:eastAsia="zh-CN"/>
        </w:rPr>
        <w:t>件</w:t>
      </w:r>
      <w:r>
        <w:rPr>
          <w:rFonts w:hint="default" w:ascii="Times New Roman" w:hAnsi="Times New Roman" w:eastAsia="方正仿宋简体" w:cs="Times New Roman"/>
          <w:color w:val="000000"/>
          <w:highlight w:val="none"/>
        </w:rPr>
        <w:t>原有经费渠道享受</w:t>
      </w:r>
      <w:r>
        <w:rPr>
          <w:rFonts w:hint="default" w:ascii="Times New Roman" w:hAnsi="Times New Roman" w:eastAsia="方正仿宋简体" w:cs="Times New Roman"/>
          <w:color w:val="000000"/>
          <w:highlight w:val="none"/>
          <w:lang w:val="en-US" w:eastAsia="zh-CN"/>
        </w:rPr>
        <w:t>10</w:t>
      </w:r>
      <w:r>
        <w:rPr>
          <w:rFonts w:hint="default" w:ascii="Times New Roman" w:hAnsi="Times New Roman" w:eastAsia="方正仿宋简体" w:cs="Times New Roman"/>
          <w:color w:val="000000"/>
          <w:highlight w:val="none"/>
        </w:rPr>
        <w:t>万元的</w:t>
      </w:r>
      <w:r>
        <w:rPr>
          <w:rFonts w:hint="default" w:ascii="Times New Roman" w:hAnsi="Times New Roman" w:eastAsia="方正仿宋简体" w:cs="Times New Roman"/>
          <w:color w:val="000000"/>
          <w:highlight w:val="none"/>
          <w:lang w:eastAsia="zh-CN"/>
        </w:rPr>
        <w:t>工作生活补助（安家补助5万元、工作经费5万元）</w:t>
      </w:r>
      <w:r>
        <w:rPr>
          <w:rFonts w:hint="default" w:ascii="Times New Roman" w:hAnsi="Times New Roman" w:eastAsia="方正仿宋简体" w:cs="Times New Roman"/>
          <w:color w:val="000000"/>
          <w:highlight w:val="none"/>
        </w:rPr>
        <w:t>外，可</w:t>
      </w:r>
      <w:r>
        <w:rPr>
          <w:rFonts w:hint="default" w:ascii="Times New Roman" w:hAnsi="Times New Roman" w:eastAsia="方正仿宋简体" w:cs="Times New Roman"/>
          <w:color w:val="000000"/>
          <w:highlight w:val="none"/>
          <w:lang w:eastAsia="zh-CN"/>
        </w:rPr>
        <w:t>从教育专项经费渠道另行追加</w:t>
      </w:r>
      <w:r>
        <w:rPr>
          <w:rFonts w:hint="default" w:ascii="Times New Roman" w:hAnsi="Times New Roman" w:eastAsia="方正仿宋简体" w:cs="Times New Roman"/>
          <w:color w:val="000000"/>
          <w:highlight w:val="none"/>
        </w:rPr>
        <w:t>最高</w:t>
      </w:r>
      <w:r>
        <w:rPr>
          <w:rFonts w:hint="default" w:ascii="Times New Roman" w:hAnsi="Times New Roman" w:eastAsia="方正仿宋简体" w:cs="Times New Roman"/>
          <w:color w:val="000000"/>
          <w:highlight w:val="none"/>
          <w:lang w:val="en-US" w:eastAsia="zh-CN"/>
        </w:rPr>
        <w:t>20</w:t>
      </w:r>
      <w:r>
        <w:rPr>
          <w:rFonts w:hint="default" w:ascii="Times New Roman" w:hAnsi="Times New Roman" w:eastAsia="方正仿宋简体" w:cs="Times New Roman"/>
          <w:color w:val="000000"/>
          <w:highlight w:val="none"/>
        </w:rPr>
        <w:t>万元的</w:t>
      </w:r>
      <w:r>
        <w:rPr>
          <w:rFonts w:hint="default" w:ascii="Times New Roman" w:hAnsi="Times New Roman" w:eastAsia="方正仿宋简体" w:cs="Times New Roman"/>
          <w:color w:val="000000"/>
          <w:highlight w:val="none"/>
          <w:lang w:eastAsia="zh-CN"/>
        </w:rPr>
        <w:t>人才特殊补助（</w:t>
      </w:r>
      <w:r>
        <w:rPr>
          <w:rFonts w:hint="default" w:ascii="Times New Roman" w:hAnsi="Times New Roman" w:eastAsia="方正仿宋简体" w:cs="Times New Roman"/>
          <w:color w:val="000000"/>
          <w:highlight w:val="none"/>
        </w:rPr>
        <w:t>安家补助</w:t>
      </w:r>
      <w:r>
        <w:rPr>
          <w:rFonts w:hint="default" w:ascii="Times New Roman" w:hAnsi="Times New Roman" w:eastAsia="方正仿宋简体" w:cs="Times New Roman"/>
          <w:color w:val="000000"/>
          <w:highlight w:val="none"/>
          <w:lang w:eastAsia="zh-CN"/>
        </w:rPr>
        <w:t>1</w:t>
      </w:r>
      <w:r>
        <w:rPr>
          <w:rFonts w:hint="default" w:ascii="Times New Roman" w:hAnsi="Times New Roman" w:eastAsia="方正仿宋简体" w:cs="Times New Roman"/>
          <w:color w:val="000000"/>
          <w:highlight w:val="none"/>
        </w:rPr>
        <w:t>0万元、工作经费</w:t>
      </w:r>
      <w:r>
        <w:rPr>
          <w:rFonts w:hint="default" w:ascii="Times New Roman" w:hAnsi="Times New Roman" w:eastAsia="方正仿宋简体" w:cs="Times New Roman"/>
          <w:color w:val="000000"/>
          <w:highlight w:val="none"/>
          <w:lang w:eastAsia="zh-CN"/>
        </w:rPr>
        <w:t>1</w:t>
      </w:r>
      <w:r>
        <w:rPr>
          <w:rFonts w:hint="default" w:ascii="Times New Roman" w:hAnsi="Times New Roman" w:eastAsia="方正仿宋简体" w:cs="Times New Roman"/>
          <w:color w:val="000000"/>
          <w:highlight w:val="none"/>
        </w:rPr>
        <w:t>0万元</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w:t>
      </w:r>
    </w:p>
    <w:p w14:paraId="44D2EFAB">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引聘的全日制普通院校硕士研究生、部属院校全日制普通本科毕业生可从教育专项经费渠道按引聘学校类别享受总额度为</w:t>
      </w:r>
      <w:r>
        <w:rPr>
          <w:rFonts w:hint="default" w:ascii="Times New Roman" w:hAnsi="Times New Roman" w:eastAsia="方正仿宋简体" w:cs="Times New Roman"/>
          <w:color w:val="000000"/>
          <w:highlight w:val="none"/>
          <w:lang w:val="en-US" w:eastAsia="zh-CN"/>
        </w:rPr>
        <w:t>3</w:t>
      </w:r>
      <w:r>
        <w:rPr>
          <w:rFonts w:hint="default" w:ascii="Times New Roman" w:hAnsi="Times New Roman" w:eastAsia="方正仿宋简体" w:cs="Times New Roman"/>
          <w:color w:val="000000"/>
          <w:highlight w:val="none"/>
        </w:rPr>
        <w:t>万元至</w:t>
      </w:r>
      <w:r>
        <w:rPr>
          <w:rFonts w:hint="default" w:ascii="Times New Roman" w:hAnsi="Times New Roman" w:eastAsia="方正仿宋简体" w:cs="Times New Roman"/>
          <w:color w:val="000000"/>
          <w:highlight w:val="none"/>
          <w:lang w:val="en-US" w:eastAsia="zh-CN"/>
        </w:rPr>
        <w:t>7</w:t>
      </w:r>
      <w:r>
        <w:rPr>
          <w:rFonts w:hint="default" w:ascii="Times New Roman" w:hAnsi="Times New Roman" w:eastAsia="方正仿宋简体" w:cs="Times New Roman"/>
          <w:color w:val="000000"/>
          <w:highlight w:val="none"/>
        </w:rPr>
        <w:t>万元的</w:t>
      </w:r>
      <w:r>
        <w:rPr>
          <w:rFonts w:hint="default" w:ascii="Times New Roman" w:hAnsi="Times New Roman" w:eastAsia="方正仿宋简体" w:cs="Times New Roman"/>
          <w:color w:val="000000"/>
          <w:highlight w:val="none"/>
          <w:lang w:eastAsia="zh-CN"/>
        </w:rPr>
        <w:t>人才特殊补助，即引聘</w:t>
      </w:r>
      <w:r>
        <w:rPr>
          <w:rFonts w:hint="default" w:ascii="Times New Roman" w:hAnsi="Times New Roman" w:eastAsia="方正仿宋简体" w:cs="Times New Roman"/>
          <w:color w:val="000000"/>
          <w:highlight w:val="none"/>
        </w:rPr>
        <w:t>至乡村小学及幼儿园、乡村中学及特教学校、城镇小学及幼儿园任教分别享受安家补助7万元、5万元、3万元。</w:t>
      </w:r>
    </w:p>
    <w:p w14:paraId="30DDF099">
      <w:pPr>
        <w:keepNext w:val="0"/>
        <w:keepLines w:val="0"/>
        <w:pageBreakBefore w:val="0"/>
        <w:kinsoku/>
        <w:wordWrap/>
        <w:overflowPunct/>
        <w:topLinePunct w:val="0"/>
        <w:autoSpaceDE/>
        <w:autoSpaceDN/>
        <w:bidi w:val="0"/>
        <w:spacing w:line="570" w:lineRule="exact"/>
        <w:ind w:left="0" w:leftChars="0" w:firstLine="640" w:firstLineChars="200"/>
        <w:textAlignment w:val="auto"/>
        <w:rPr>
          <w:rFonts w:hint="default" w:ascii="Times New Roman" w:hAnsi="Times New Roman" w:eastAsia="方正仿宋简体" w:cs="Times New Roman"/>
          <w:color w:val="000000"/>
          <w:kern w:val="2"/>
          <w:sz w:val="32"/>
          <w:szCs w:val="24"/>
          <w:highlight w:val="none"/>
          <w:lang w:val="en-US" w:eastAsia="zh-CN" w:bidi="ar-SA"/>
        </w:rPr>
      </w:pPr>
      <w:r>
        <w:rPr>
          <w:rFonts w:hint="default" w:ascii="Times New Roman" w:hAnsi="Times New Roman" w:eastAsia="方正仿宋简体" w:cs="Times New Roman"/>
          <w:color w:val="000000"/>
          <w:kern w:val="2"/>
          <w:sz w:val="32"/>
          <w:szCs w:val="24"/>
          <w:highlight w:val="none"/>
          <w:lang w:val="en-US" w:eastAsia="zh-CN" w:bidi="ar-SA"/>
        </w:rPr>
        <w:t>责任单位：市教育局、人社局、财政局，</w:t>
      </w:r>
      <w:r>
        <w:rPr>
          <w:rFonts w:hint="default" w:ascii="Times New Roman" w:hAnsi="Times New Roman" w:eastAsia="方正仿宋简体" w:cs="Times New Roman"/>
          <w:color w:val="000000"/>
          <w:sz w:val="32"/>
          <w:szCs w:val="24"/>
          <w:highlight w:val="none"/>
        </w:rPr>
        <w:t>各县（市、区）人民政府，泉州开发区、泉州台商投资区管委会</w:t>
      </w:r>
    </w:p>
    <w:p w14:paraId="6427DD43">
      <w:pPr>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b/>
          <w:bCs/>
          <w:color w:val="000000"/>
          <w:highlight w:val="none"/>
        </w:rPr>
        <w:t>4.提供安居保障。</w:t>
      </w:r>
      <w:r>
        <w:rPr>
          <w:rFonts w:hint="default" w:ascii="Times New Roman" w:hAnsi="Times New Roman" w:eastAsia="方正仿宋简体" w:cs="Times New Roman"/>
          <w:color w:val="000000"/>
          <w:highlight w:val="none"/>
          <w:lang w:eastAsia="zh-CN"/>
        </w:rPr>
        <w:t>符合</w:t>
      </w:r>
      <w:r>
        <w:rPr>
          <w:rFonts w:hint="default" w:ascii="Times New Roman" w:hAnsi="Times New Roman" w:eastAsia="方正仿宋简体" w:cs="Times New Roman"/>
          <w:color w:val="000000"/>
          <w:highlight w:val="none"/>
        </w:rPr>
        <w:t>我市引进类第五层次人才</w:t>
      </w:r>
      <w:r>
        <w:rPr>
          <w:rFonts w:hint="default" w:ascii="Times New Roman" w:hAnsi="Times New Roman" w:eastAsia="方正仿宋简体" w:cs="Times New Roman"/>
          <w:color w:val="000000"/>
          <w:highlight w:val="none"/>
          <w:lang w:eastAsia="zh-CN"/>
        </w:rPr>
        <w:t>条件的</w:t>
      </w:r>
      <w:r>
        <w:rPr>
          <w:rFonts w:hint="default" w:ascii="Times New Roman" w:hAnsi="Times New Roman" w:eastAsia="方正仿宋简体" w:cs="Times New Roman"/>
          <w:color w:val="000000"/>
          <w:highlight w:val="none"/>
        </w:rPr>
        <w:t>博士研究生</w:t>
      </w:r>
      <w:r>
        <w:rPr>
          <w:rFonts w:hint="default" w:ascii="Times New Roman" w:hAnsi="Times New Roman" w:eastAsia="方正仿宋简体" w:cs="Times New Roman"/>
          <w:color w:val="000000"/>
          <w:highlight w:val="none"/>
          <w:lang w:eastAsia="zh-CN"/>
        </w:rPr>
        <w:t>除</w:t>
      </w:r>
      <w:r>
        <w:rPr>
          <w:rFonts w:hint="default" w:ascii="Times New Roman" w:hAnsi="Times New Roman" w:eastAsia="方正仿宋简体" w:cs="Times New Roman"/>
          <w:color w:val="000000"/>
          <w:highlight w:val="none"/>
        </w:rPr>
        <w:t>可享受购房补助</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或按上限</w:t>
      </w:r>
      <w:r>
        <w:rPr>
          <w:rFonts w:hint="default" w:ascii="Times New Roman" w:hAnsi="Times New Roman" w:eastAsia="方正仿宋简体" w:cs="Times New Roman"/>
          <w:color w:val="000000"/>
          <w:highlight w:val="none"/>
          <w:lang w:eastAsia="zh-CN"/>
        </w:rPr>
        <w:t>9</w:t>
      </w:r>
      <w:r>
        <w:rPr>
          <w:rFonts w:hint="default" w:ascii="Times New Roman" w:hAnsi="Times New Roman" w:eastAsia="方正仿宋简体" w:cs="Times New Roman"/>
          <w:color w:val="000000"/>
          <w:highlight w:val="none"/>
        </w:rPr>
        <w:t>0平方米给予租金补贴）外，可从教育专项经费渠道另行追加</w:t>
      </w:r>
      <w:r>
        <w:rPr>
          <w:rFonts w:hint="default" w:ascii="Times New Roman" w:hAnsi="Times New Roman" w:eastAsia="方正仿宋简体" w:cs="Times New Roman"/>
          <w:color w:val="000000"/>
          <w:highlight w:val="none"/>
          <w:lang w:eastAsia="zh-CN"/>
        </w:rPr>
        <w:t>4</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万元的</w:t>
      </w:r>
      <w:r>
        <w:rPr>
          <w:rFonts w:hint="default" w:ascii="Times New Roman" w:hAnsi="Times New Roman" w:eastAsia="方正仿宋简体" w:cs="Times New Roman"/>
          <w:color w:val="000000"/>
          <w:highlight w:val="none"/>
          <w:lang w:eastAsia="zh-CN"/>
        </w:rPr>
        <w:t>购房补助。引聘的</w:t>
      </w:r>
      <w:r>
        <w:rPr>
          <w:rFonts w:hint="default" w:ascii="Times New Roman" w:hAnsi="Times New Roman" w:eastAsia="方正仿宋简体" w:cs="Times New Roman"/>
          <w:color w:val="000000"/>
          <w:highlight w:val="none"/>
        </w:rPr>
        <w:t>全日制普通院校硕士研究生、部属院校全日制普通本科毕业生可</w:t>
      </w:r>
      <w:r>
        <w:rPr>
          <w:rFonts w:hint="default" w:ascii="Times New Roman" w:hAnsi="Times New Roman" w:eastAsia="方正仿宋简体" w:cs="Times New Roman"/>
          <w:color w:val="000000"/>
          <w:highlight w:val="none"/>
          <w:lang w:eastAsia="zh-CN"/>
        </w:rPr>
        <w:t>按</w:t>
      </w:r>
      <w:r>
        <w:rPr>
          <w:rFonts w:hint="default" w:ascii="Times New Roman" w:hAnsi="Times New Roman" w:eastAsia="方正仿宋简体" w:cs="Times New Roman"/>
          <w:color w:val="000000"/>
          <w:highlight w:val="none"/>
        </w:rPr>
        <w:t>教育专项经费渠道享受购房补助15万元</w:t>
      </w:r>
      <w:r>
        <w:rPr>
          <w:rFonts w:hint="default" w:ascii="Times New Roman" w:hAnsi="Times New Roman" w:eastAsia="方正仿宋简体" w:cs="Times New Roman"/>
          <w:color w:val="000000"/>
          <w:highlight w:val="none"/>
          <w:lang w:eastAsia="zh-CN"/>
        </w:rPr>
        <w:t>。</w:t>
      </w:r>
    </w:p>
    <w:p w14:paraId="738225B1">
      <w:pPr>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引聘的博士研究生、硕士研究生、部属院校本科毕业生来泉任教满3个月即可享受泉州市户籍人员购房政策；可申请租住市、县</w:t>
      </w:r>
      <w:r>
        <w:rPr>
          <w:rFonts w:hint="default" w:ascii="Times New Roman" w:hAnsi="Times New Roman" w:eastAsia="方正仿宋简体" w:cs="Times New Roman"/>
          <w:color w:val="000000"/>
          <w:highlight w:val="none"/>
          <w:lang w:eastAsia="zh-CN"/>
        </w:rPr>
        <w:t>两级</w:t>
      </w:r>
      <w:r>
        <w:rPr>
          <w:rFonts w:hint="default" w:ascii="Times New Roman" w:hAnsi="Times New Roman" w:eastAsia="方正仿宋简体" w:cs="Times New Roman"/>
          <w:color w:val="000000"/>
          <w:highlight w:val="none"/>
        </w:rPr>
        <w:t>人才公寓或青年公寓等配套住房，租住市属房源按租房价的15%予以补助，租住县属房源由县（市、区）根据实际予以补助。</w:t>
      </w:r>
    </w:p>
    <w:p w14:paraId="7F11DF2D">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责任单位：市教育局、住建局、人社局、国资委，各县（市、区）人民政府，泉州开发区、泉州台商投资区管委会</w:t>
      </w:r>
    </w:p>
    <w:p w14:paraId="2AE7F7E6">
      <w:pPr>
        <w:pStyle w:val="2"/>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5.升级子女教育服务。</w:t>
      </w:r>
      <w:r>
        <w:rPr>
          <w:rFonts w:hint="default" w:ascii="Times New Roman" w:hAnsi="Times New Roman" w:eastAsia="方正仿宋简体" w:cs="Times New Roman"/>
          <w:color w:val="000000"/>
          <w:highlight w:val="none"/>
        </w:rPr>
        <w:t>引聘的博士研究生子女可由工作单位所属市、县</w:t>
      </w:r>
      <w:r>
        <w:rPr>
          <w:rFonts w:hint="default" w:ascii="Times New Roman" w:hAnsi="Times New Roman" w:eastAsia="方正仿宋简体" w:cs="Times New Roman"/>
          <w:color w:val="000000"/>
          <w:highlight w:val="none"/>
          <w:lang w:eastAsia="zh-CN"/>
        </w:rPr>
        <w:t>级</w:t>
      </w:r>
      <w:r>
        <w:rPr>
          <w:rFonts w:hint="default" w:ascii="Times New Roman" w:hAnsi="Times New Roman" w:eastAsia="方正仿宋简体" w:cs="Times New Roman"/>
          <w:color w:val="000000"/>
          <w:highlight w:val="none"/>
        </w:rPr>
        <w:t>教育行政部门统筹安排条件较好的公办幼儿园和义务教育学校接收入学；引聘的硕士研究生、部属院校本科毕业生子女可由工作单位所在县（市、区）教育行政部门统筹安排公办义务教育学校接收入学。</w:t>
      </w:r>
    </w:p>
    <w:p w14:paraId="71D7062E">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4B9F06BA">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6.</w:t>
      </w:r>
      <w:r>
        <w:rPr>
          <w:rFonts w:hint="default" w:ascii="Times New Roman" w:hAnsi="Times New Roman" w:eastAsia="方正仿宋简体" w:cs="Times New Roman"/>
          <w:b/>
          <w:bCs/>
          <w:color w:val="000000"/>
          <w:highlight w:val="none"/>
          <w:lang w:eastAsia="zh-CN"/>
        </w:rPr>
        <w:t>支持提升培训</w:t>
      </w:r>
      <w:r>
        <w:rPr>
          <w:rFonts w:hint="default" w:ascii="Times New Roman" w:hAnsi="Times New Roman" w:eastAsia="方正仿宋简体" w:cs="Times New Roman"/>
          <w:b/>
          <w:bCs/>
          <w:color w:val="000000"/>
          <w:highlight w:val="none"/>
        </w:rPr>
        <w:t>。</w:t>
      </w:r>
      <w:r>
        <w:rPr>
          <w:rFonts w:hint="default" w:ascii="Times New Roman" w:hAnsi="Times New Roman" w:eastAsia="方正仿宋简体" w:cs="Times New Roman"/>
          <w:color w:val="000000"/>
          <w:highlight w:val="none"/>
          <w:lang w:eastAsia="zh-CN"/>
        </w:rPr>
        <w:t>支持</w:t>
      </w:r>
      <w:r>
        <w:rPr>
          <w:rFonts w:hint="default" w:ascii="Times New Roman" w:hAnsi="Times New Roman" w:eastAsia="方正仿宋简体" w:cs="Times New Roman"/>
          <w:color w:val="000000"/>
          <w:highlight w:val="none"/>
        </w:rPr>
        <w:t>引聘博士研究生、硕士研究生、部属院校本科毕业生根据学校教育教学安排，</w:t>
      </w:r>
      <w:r>
        <w:rPr>
          <w:rFonts w:hint="default" w:ascii="Times New Roman" w:hAnsi="Times New Roman" w:eastAsia="方正仿宋简体" w:cs="Times New Roman"/>
          <w:color w:val="000000"/>
          <w:highlight w:val="none"/>
          <w:lang w:eastAsia="zh-CN"/>
        </w:rPr>
        <w:t>积极</w:t>
      </w:r>
      <w:r>
        <w:rPr>
          <w:rFonts w:hint="default" w:ascii="Times New Roman" w:hAnsi="Times New Roman" w:eastAsia="方正仿宋简体" w:cs="Times New Roman"/>
          <w:color w:val="000000"/>
          <w:highlight w:val="none"/>
        </w:rPr>
        <w:t>参与市、县两级教育行政部门组织的教师继续教育和提升培训，报名参加我市各级党委、政府及其职能部门组织的人才研修班、培训班、论坛沙龙。</w:t>
      </w:r>
    </w:p>
    <w:p w14:paraId="30F1DBE3">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责任单位：市教育局，市委组织部，</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3D8D2EC9">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7.享受城市配套服务。</w:t>
      </w:r>
      <w:r>
        <w:rPr>
          <w:rFonts w:hint="default" w:ascii="Times New Roman" w:hAnsi="Times New Roman" w:eastAsia="方正仿宋简体" w:cs="Times New Roman"/>
          <w:color w:val="000000"/>
          <w:highlight w:val="none"/>
        </w:rPr>
        <w:t>引聘博士研究生、硕士研究生、部属院校本科毕业生实行“零门槛”落户，并可申领“优才卡”，凭卡享受涉才政策服务和在泉消费商家打折优惠。对首次来泉就业的博士研究生、硕士研究生、部属院校本科毕业生可享受3年内免费乘坐市内常规公交线路的公交车（不含泉州古城旅游观光电瓶车）、免费进入我市国有</w:t>
      </w:r>
      <w:r>
        <w:rPr>
          <w:rFonts w:hint="default" w:ascii="Times New Roman" w:hAnsi="Times New Roman" w:eastAsia="方正仿宋简体" w:cs="Times New Roman"/>
          <w:color w:val="000000"/>
          <w:highlight w:val="none"/>
          <w:lang w:val="en"/>
        </w:rPr>
        <w:t>A级旅游景区、免费</w:t>
      </w:r>
      <w:r>
        <w:rPr>
          <w:rFonts w:hint="default" w:ascii="Times New Roman" w:hAnsi="Times New Roman" w:eastAsia="方正仿宋简体" w:cs="Times New Roman"/>
          <w:color w:val="000000"/>
          <w:highlight w:val="none"/>
        </w:rPr>
        <w:t>参加全市22个世界遗产点定制游学体验等配套服务。</w:t>
      </w:r>
    </w:p>
    <w:p w14:paraId="02CE8B6F">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责任单位：市公安局、人社局、商务局、国资委、文旅局，清源山管委会，泉州文旅集团、泉州交通发展集团，各县（市、区）人民政府，泉州开发区、泉州台商投资区管委会</w:t>
      </w:r>
    </w:p>
    <w:p w14:paraId="65388C51">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8.同步享受其他人才待遇。</w:t>
      </w:r>
      <w:r>
        <w:rPr>
          <w:rFonts w:hint="default" w:ascii="Times New Roman" w:hAnsi="Times New Roman" w:eastAsia="方正仿宋简体" w:cs="Times New Roman"/>
          <w:color w:val="000000"/>
          <w:highlight w:val="none"/>
        </w:rPr>
        <w:t>引聘的博士研究生、硕士研究生、部属院校本科毕业生通过</w:t>
      </w:r>
      <w:r>
        <w:rPr>
          <w:rFonts w:hint="default" w:ascii="Times New Roman" w:hAnsi="Times New Roman" w:eastAsia="方正仿宋简体" w:cs="Times New Roman"/>
          <w:color w:val="000000"/>
          <w:highlight w:val="none"/>
          <w:lang w:eastAsia="zh-CN"/>
        </w:rPr>
        <w:t>泉州市</w:t>
      </w:r>
      <w:r>
        <w:rPr>
          <w:rFonts w:hint="default" w:ascii="Times New Roman" w:hAnsi="Times New Roman" w:eastAsia="方正仿宋简体" w:cs="Times New Roman"/>
          <w:color w:val="000000"/>
          <w:highlight w:val="none"/>
        </w:rPr>
        <w:t>高层次人才认定</w:t>
      </w:r>
      <w:r>
        <w:rPr>
          <w:rFonts w:hint="default" w:ascii="Times New Roman" w:hAnsi="Times New Roman" w:eastAsia="方正仿宋简体" w:cs="Times New Roman"/>
          <w:color w:val="000000"/>
          <w:highlight w:val="none"/>
          <w:lang w:eastAsia="zh-CN"/>
        </w:rPr>
        <w:t>或</w:t>
      </w:r>
      <w:r>
        <w:rPr>
          <w:rFonts w:hint="default" w:ascii="Times New Roman" w:hAnsi="Times New Roman" w:eastAsia="方正仿宋简体" w:cs="Times New Roman"/>
          <w:color w:val="000000"/>
          <w:highlight w:val="none"/>
        </w:rPr>
        <w:t>符合</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涌泉</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行动、市级引进高水平高校毕业生优惠政策</w:t>
      </w:r>
      <w:r>
        <w:rPr>
          <w:rFonts w:hint="default" w:ascii="Times New Roman" w:hAnsi="Times New Roman" w:eastAsia="方正仿宋简体" w:cs="Times New Roman"/>
          <w:color w:val="000000"/>
          <w:highlight w:val="none"/>
          <w:lang w:eastAsia="zh-CN"/>
        </w:rPr>
        <w:t>的</w:t>
      </w:r>
      <w:r>
        <w:rPr>
          <w:rFonts w:hint="default" w:ascii="Times New Roman" w:hAnsi="Times New Roman" w:eastAsia="方正仿宋简体" w:cs="Times New Roman"/>
          <w:color w:val="000000"/>
          <w:highlight w:val="none"/>
        </w:rPr>
        <w:t>，可享受相应的户籍迁入、金融支持、休假疗养等人才待遇</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通过泉州市高层次人才认定</w:t>
      </w:r>
      <w:r>
        <w:rPr>
          <w:rFonts w:hint="eastAsia" w:ascii="Times New Roman" w:hAnsi="Times New Roman" w:eastAsia="方正仿宋简体" w:cs="Times New Roman"/>
          <w:color w:val="000000"/>
          <w:highlight w:val="none"/>
          <w:lang w:eastAsia="zh-CN"/>
        </w:rPr>
        <w:t>的，</w:t>
      </w:r>
      <w:r>
        <w:rPr>
          <w:rFonts w:hint="default" w:ascii="Times New Roman" w:hAnsi="Times New Roman" w:eastAsia="方正仿宋简体" w:cs="Times New Roman"/>
          <w:color w:val="000000"/>
          <w:highlight w:val="none"/>
          <w:lang w:eastAsia="zh-CN"/>
        </w:rPr>
        <w:t>还</w:t>
      </w:r>
      <w:r>
        <w:rPr>
          <w:rFonts w:hint="default" w:ascii="Times New Roman" w:hAnsi="Times New Roman" w:eastAsia="方正仿宋简体" w:cs="Times New Roman"/>
          <w:color w:val="000000"/>
          <w:highlight w:val="none"/>
        </w:rPr>
        <w:t>可享受相应的医疗保健、法律服务等人才待遇。</w:t>
      </w:r>
    </w:p>
    <w:p w14:paraId="3A5438FC">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责任单位：市教育局、公安局、金融监管局、卫健委、医保局、司法局，市委组织部，</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1484213B">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黑体简体" w:hAnsi="方正黑体简体" w:eastAsia="方正黑体简体" w:cs="方正黑体简体"/>
          <w:color w:val="000000"/>
          <w:highlight w:val="none"/>
        </w:rPr>
      </w:pPr>
      <w:r>
        <w:rPr>
          <w:rFonts w:hint="eastAsia" w:ascii="方正黑体简体" w:hAnsi="方正黑体简体" w:eastAsia="方正黑体简体" w:cs="方正黑体简体"/>
          <w:color w:val="000000"/>
          <w:highlight w:val="none"/>
        </w:rPr>
        <w:t>二、引聘基础教育名师条件及待遇</w:t>
      </w:r>
    </w:p>
    <w:p w14:paraId="61875FA4">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实施基础教育“头雁”引才行动，引聘从事教育管理、学生培养、教育科学研究等教育活动，能够引领带动我市基础教育品质提升、助力教育高质量发展的基础教育名师。</w:t>
      </w:r>
    </w:p>
    <w:p w14:paraId="5CBAF1EC">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方正楷体简体" w:hAnsi="方正楷体简体" w:eastAsia="方正楷体简体" w:cs="方正楷体简体"/>
          <w:b w:val="0"/>
          <w:bCs w:val="0"/>
          <w:color w:val="000000"/>
          <w:highlight w:val="none"/>
        </w:rPr>
      </w:pPr>
      <w:r>
        <w:rPr>
          <w:rFonts w:hint="default" w:ascii="方正楷体简体" w:hAnsi="方正楷体简体" w:eastAsia="方正楷体简体" w:cs="方正楷体简体"/>
          <w:b w:val="0"/>
          <w:bCs w:val="0"/>
          <w:color w:val="000000"/>
          <w:highlight w:val="none"/>
        </w:rPr>
        <w:t>（一）引聘条件</w:t>
      </w:r>
    </w:p>
    <w:p w14:paraId="125FA909">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color w:val="000000"/>
          <w:highlight w:val="none"/>
          <w:lang w:eastAsia="zh-CN"/>
        </w:rPr>
        <w:t>基础教育名师应符合我市第一至第五层次人才认定标准，且具备以下条件之一：</w:t>
      </w:r>
    </w:p>
    <w:p w14:paraId="4C40B7E2">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lang w:val="en-US" w:eastAsia="zh-CN"/>
        </w:rPr>
        <w:t>1.</w:t>
      </w:r>
      <w:r>
        <w:rPr>
          <w:rFonts w:hint="default" w:ascii="Times New Roman" w:hAnsi="Times New Roman" w:eastAsia="方正仿宋简体" w:cs="Times New Roman"/>
          <w:color w:val="000000"/>
          <w:highlight w:val="none"/>
        </w:rPr>
        <w:t>国家级教学名师、国家相关人才计划教学名师（</w:t>
      </w:r>
      <w:r>
        <w:rPr>
          <w:rFonts w:hint="default" w:ascii="Times New Roman" w:hAnsi="Times New Roman" w:eastAsia="方正仿宋简体" w:cs="Times New Roman"/>
          <w:color w:val="000000"/>
          <w:highlight w:val="none"/>
          <w:lang w:eastAsia="zh-CN"/>
        </w:rPr>
        <w:t>即为</w:t>
      </w:r>
      <w:r>
        <w:rPr>
          <w:rFonts w:hint="default" w:ascii="Times New Roman" w:hAnsi="Times New Roman" w:eastAsia="方正仿宋简体" w:cs="Times New Roman"/>
          <w:color w:val="000000"/>
          <w:highlight w:val="none"/>
        </w:rPr>
        <w:t>国家“万人计划”杰出人才、领军人才）、国家级教学成果</w:t>
      </w:r>
      <w:r>
        <w:rPr>
          <w:rFonts w:hint="default" w:ascii="Times New Roman" w:hAnsi="Times New Roman" w:eastAsia="方正仿宋简体" w:cs="Times New Roman"/>
          <w:color w:val="000000"/>
          <w:highlight w:val="none"/>
          <w:lang w:eastAsia="zh-CN"/>
        </w:rPr>
        <w:t>奖</w:t>
      </w:r>
      <w:r>
        <w:rPr>
          <w:rFonts w:hint="default" w:ascii="Times New Roman" w:hAnsi="Times New Roman" w:eastAsia="方正仿宋简体" w:cs="Times New Roman"/>
          <w:color w:val="000000"/>
          <w:highlight w:val="none"/>
        </w:rPr>
        <w:t>特等奖第一完成人</w:t>
      </w:r>
      <w:r>
        <w:rPr>
          <w:rFonts w:hint="default" w:ascii="Times New Roman" w:hAnsi="Times New Roman" w:eastAsia="方正仿宋简体" w:cs="Times New Roman"/>
          <w:color w:val="000000"/>
          <w:highlight w:val="none"/>
          <w:lang w:eastAsia="zh-CN"/>
        </w:rPr>
        <w:t>，且</w:t>
      </w:r>
      <w:r>
        <w:rPr>
          <w:rFonts w:hint="default" w:ascii="Times New Roman" w:hAnsi="Times New Roman" w:eastAsia="方正仿宋简体" w:cs="Times New Roman"/>
          <w:color w:val="000000"/>
          <w:highlight w:val="none"/>
        </w:rPr>
        <w:t>年龄不超过50周岁；</w:t>
      </w:r>
    </w:p>
    <w:p w14:paraId="00944DEA">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lang w:val="en-US" w:eastAsia="zh-CN"/>
        </w:rPr>
        <w:t>2.</w:t>
      </w:r>
      <w:r>
        <w:rPr>
          <w:rFonts w:hint="default" w:ascii="Times New Roman" w:hAnsi="Times New Roman" w:eastAsia="方正仿宋简体" w:cs="Times New Roman"/>
          <w:color w:val="000000"/>
          <w:highlight w:val="none"/>
        </w:rPr>
        <w:t>享受国务院政府特殊</w:t>
      </w:r>
      <w:r>
        <w:rPr>
          <w:rFonts w:hint="default" w:ascii="Times New Roman" w:hAnsi="Times New Roman" w:eastAsia="方正仿宋简体" w:cs="Times New Roman"/>
          <w:color w:val="000000"/>
          <w:highlight w:val="none"/>
          <w:lang w:eastAsia="zh-CN"/>
        </w:rPr>
        <w:t>津贴人员</w:t>
      </w:r>
      <w:r>
        <w:rPr>
          <w:rFonts w:hint="default" w:ascii="Times New Roman" w:hAnsi="Times New Roman" w:eastAsia="方正仿宋简体" w:cs="Times New Roman"/>
          <w:color w:val="000000"/>
          <w:highlight w:val="none"/>
        </w:rPr>
        <w:t>、新世纪百千万人才工程国家级人选、福建省杰出人民教师、国家级教学成果</w:t>
      </w:r>
      <w:r>
        <w:rPr>
          <w:rFonts w:hint="default" w:ascii="Times New Roman" w:hAnsi="Times New Roman" w:eastAsia="方正仿宋简体" w:cs="Times New Roman"/>
          <w:color w:val="000000"/>
          <w:highlight w:val="none"/>
          <w:lang w:eastAsia="zh-CN"/>
        </w:rPr>
        <w:t>奖</w:t>
      </w:r>
      <w:r>
        <w:rPr>
          <w:rFonts w:hint="default" w:ascii="Times New Roman" w:hAnsi="Times New Roman" w:eastAsia="方正仿宋简体" w:cs="Times New Roman"/>
          <w:color w:val="000000"/>
          <w:highlight w:val="none"/>
        </w:rPr>
        <w:t>特等奖第二完成人、国家级教学成果</w:t>
      </w:r>
      <w:r>
        <w:rPr>
          <w:rFonts w:hint="default" w:ascii="Times New Roman" w:hAnsi="Times New Roman" w:eastAsia="方正仿宋简体" w:cs="Times New Roman"/>
          <w:color w:val="000000"/>
          <w:highlight w:val="none"/>
          <w:lang w:eastAsia="zh-CN"/>
        </w:rPr>
        <w:t>奖</w:t>
      </w:r>
      <w:r>
        <w:rPr>
          <w:rFonts w:hint="default" w:ascii="Times New Roman" w:hAnsi="Times New Roman" w:eastAsia="方正仿宋简体" w:cs="Times New Roman"/>
          <w:color w:val="000000"/>
          <w:highlight w:val="none"/>
        </w:rPr>
        <w:t>一等奖第一完成人</w:t>
      </w:r>
      <w:r>
        <w:rPr>
          <w:rFonts w:hint="default" w:ascii="Times New Roman" w:hAnsi="Times New Roman" w:eastAsia="方正仿宋简体" w:cs="Times New Roman"/>
          <w:color w:val="000000"/>
          <w:highlight w:val="none"/>
          <w:lang w:eastAsia="zh-CN"/>
        </w:rPr>
        <w:t>，且</w:t>
      </w:r>
      <w:r>
        <w:rPr>
          <w:rFonts w:hint="default" w:ascii="Times New Roman" w:hAnsi="Times New Roman" w:eastAsia="方正仿宋简体" w:cs="Times New Roman"/>
          <w:color w:val="000000"/>
          <w:highlight w:val="none"/>
        </w:rPr>
        <w:t>年龄不超过50周岁；</w:t>
      </w:r>
    </w:p>
    <w:p w14:paraId="572D8CC1">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lang w:val="en-US" w:eastAsia="zh-CN"/>
        </w:rPr>
        <w:t>3.</w:t>
      </w:r>
      <w:r>
        <w:rPr>
          <w:rFonts w:hint="default" w:ascii="Times New Roman" w:hAnsi="Times New Roman" w:eastAsia="方正仿宋简体" w:cs="Times New Roman"/>
          <w:color w:val="000000"/>
          <w:highlight w:val="none"/>
        </w:rPr>
        <w:t>福建省特级教师、国家级教学成果奖二等奖第一完成人、国家级教学成果奖一等奖第二完成人</w:t>
      </w:r>
      <w:r>
        <w:rPr>
          <w:rFonts w:hint="default" w:ascii="Times New Roman" w:hAnsi="Times New Roman" w:eastAsia="方正仿宋简体" w:cs="Times New Roman"/>
          <w:color w:val="000000"/>
          <w:highlight w:val="none"/>
          <w:lang w:eastAsia="zh-CN"/>
        </w:rPr>
        <w:t>，且</w:t>
      </w:r>
      <w:r>
        <w:rPr>
          <w:rFonts w:hint="default" w:ascii="Times New Roman" w:hAnsi="Times New Roman" w:eastAsia="方正仿宋简体" w:cs="Times New Roman"/>
          <w:color w:val="000000"/>
          <w:highlight w:val="none"/>
        </w:rPr>
        <w:t>年龄不超过45周岁；</w:t>
      </w:r>
    </w:p>
    <w:p w14:paraId="68444805">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lang w:val="en-US" w:eastAsia="zh-CN"/>
        </w:rPr>
        <w:t>4.</w:t>
      </w:r>
      <w:r>
        <w:rPr>
          <w:rFonts w:hint="default" w:ascii="Times New Roman" w:hAnsi="Times New Roman" w:eastAsia="方正仿宋简体" w:cs="Times New Roman"/>
          <w:color w:val="000000"/>
          <w:highlight w:val="none"/>
        </w:rPr>
        <w:t>正高级教师、省级中小学名校长、省级中小学教学名师、省级优秀教学成果奖特等奖前3位完成人、省级优秀教学成果奖一等奖第一完成人</w:t>
      </w:r>
      <w:r>
        <w:rPr>
          <w:rFonts w:hint="default" w:ascii="Times New Roman" w:hAnsi="Times New Roman" w:eastAsia="方正仿宋简体" w:cs="Times New Roman"/>
          <w:color w:val="000000"/>
          <w:highlight w:val="none"/>
          <w:lang w:eastAsia="zh-CN"/>
        </w:rPr>
        <w:t>，且</w:t>
      </w:r>
      <w:r>
        <w:rPr>
          <w:rFonts w:hint="default" w:ascii="Times New Roman" w:hAnsi="Times New Roman" w:eastAsia="方正仿宋简体" w:cs="Times New Roman"/>
          <w:color w:val="000000"/>
          <w:highlight w:val="none"/>
        </w:rPr>
        <w:t>年龄不超过45周岁；</w:t>
      </w:r>
    </w:p>
    <w:p w14:paraId="4C99A172">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教育部主办教学大赛一等奖第一完成人，聘任副高级专业技术职务的地市级及以上中小学名校长、教学名师</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学科（教学）带头人或</w:t>
      </w:r>
      <w:r>
        <w:rPr>
          <w:rFonts w:hint="default" w:ascii="Times New Roman" w:hAnsi="Times New Roman" w:eastAsia="方正仿宋简体" w:cs="Times New Roman"/>
          <w:color w:val="000000"/>
          <w:highlight w:val="none"/>
          <w:lang w:eastAsia="zh-CN"/>
        </w:rPr>
        <w:t>省级</w:t>
      </w:r>
      <w:r>
        <w:rPr>
          <w:rFonts w:hint="default" w:ascii="Times New Roman" w:hAnsi="Times New Roman" w:eastAsia="方正仿宋简体" w:cs="Times New Roman"/>
          <w:color w:val="000000"/>
          <w:highlight w:val="none"/>
        </w:rPr>
        <w:t>骨干教师</w:t>
      </w:r>
      <w:r>
        <w:rPr>
          <w:rFonts w:hint="default" w:ascii="Times New Roman" w:hAnsi="Times New Roman" w:eastAsia="方正仿宋简体" w:cs="Times New Roman"/>
          <w:color w:val="000000"/>
          <w:highlight w:val="none"/>
          <w:lang w:eastAsia="zh-CN"/>
        </w:rPr>
        <w:t>，且</w:t>
      </w:r>
      <w:r>
        <w:rPr>
          <w:rFonts w:hint="default" w:ascii="Times New Roman" w:hAnsi="Times New Roman" w:eastAsia="方正仿宋简体" w:cs="Times New Roman"/>
          <w:color w:val="000000"/>
          <w:highlight w:val="none"/>
        </w:rPr>
        <w:t>年龄不超过45周岁。</w:t>
      </w:r>
    </w:p>
    <w:p w14:paraId="0DE24765">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方正楷体简体" w:hAnsi="方正楷体简体" w:eastAsia="方正楷体简体" w:cs="方正楷体简体"/>
          <w:b w:val="0"/>
          <w:bCs w:val="0"/>
          <w:color w:val="000000"/>
          <w:highlight w:val="none"/>
        </w:rPr>
      </w:pPr>
      <w:r>
        <w:rPr>
          <w:rFonts w:hint="default" w:ascii="方正楷体简体" w:hAnsi="方正楷体简体" w:eastAsia="方正楷体简体" w:cs="方正楷体简体"/>
          <w:b w:val="0"/>
          <w:bCs w:val="0"/>
          <w:color w:val="000000"/>
          <w:highlight w:val="none"/>
        </w:rPr>
        <w:t>（二）政策待遇</w:t>
      </w:r>
    </w:p>
    <w:p w14:paraId="394333C3">
      <w:pPr>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1.专享人才“一站式”服务。</w:t>
      </w:r>
      <w:r>
        <w:rPr>
          <w:rFonts w:hint="default" w:ascii="Times New Roman" w:hAnsi="Times New Roman" w:eastAsia="方正仿宋简体" w:cs="Times New Roman"/>
          <w:color w:val="000000"/>
          <w:highlight w:val="none"/>
        </w:rPr>
        <w:t>引聘单位设置人才服务专员，对接</w:t>
      </w:r>
      <w:r>
        <w:rPr>
          <w:rFonts w:hint="default" w:ascii="Times New Roman" w:hAnsi="Times New Roman" w:eastAsia="方正仿宋简体" w:cs="Times New Roman"/>
          <w:color w:val="000000"/>
          <w:highlight w:val="none"/>
          <w:lang w:eastAsia="zh-CN"/>
        </w:rPr>
        <w:t>基础教育名师</w:t>
      </w:r>
      <w:r>
        <w:rPr>
          <w:rFonts w:hint="default" w:ascii="Times New Roman" w:hAnsi="Times New Roman" w:eastAsia="方正仿宋简体" w:cs="Times New Roman"/>
          <w:color w:val="000000"/>
          <w:highlight w:val="none"/>
        </w:rPr>
        <w:t>提供“一对一”服务，为基础教育名师提供人才政策解读及咨询服务，协助基础教育名师办理入编聘用、岗位聘任、待遇申领、高层次人才认定申报等手续，提供“管家式”服务。</w:t>
      </w:r>
    </w:p>
    <w:p w14:paraId="784517E9">
      <w:pPr>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lang w:val="en-US" w:eastAsia="zh-CN"/>
        </w:rPr>
      </w:pPr>
      <w:r>
        <w:rPr>
          <w:rFonts w:hint="default" w:ascii="Times New Roman" w:hAnsi="Times New Roman" w:eastAsia="方正仿宋简体" w:cs="Times New Roman"/>
          <w:color w:val="000000"/>
          <w:kern w:val="2"/>
          <w:sz w:val="32"/>
          <w:szCs w:val="32"/>
          <w:highlight w:val="none"/>
          <w:lang w:val="en-US" w:eastAsia="zh-CN" w:bidi="ar-SA"/>
        </w:rPr>
        <w:t>责任单位：市教育局，</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2B26B45E">
      <w:pPr>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2.畅通引才入口、职称评聘、职务晋升“直通”通道。</w:t>
      </w:r>
      <w:r>
        <w:rPr>
          <w:rFonts w:hint="default" w:ascii="Times New Roman" w:hAnsi="Times New Roman" w:eastAsia="方正仿宋简体" w:cs="Times New Roman"/>
          <w:color w:val="000000"/>
          <w:highlight w:val="none"/>
        </w:rPr>
        <w:t>对符合紧缺急需人才引进指导目录要求的基础教育名师可通过调动或直接考核方式入编；支持对辞职或解聘来泉工作的基础教育名师，其辞职、解聘前的工作时间计算连续工龄。支持引聘</w:t>
      </w:r>
      <w:r>
        <w:rPr>
          <w:rFonts w:hint="default" w:ascii="Times New Roman" w:hAnsi="Times New Roman" w:eastAsia="方正仿宋简体" w:cs="Times New Roman"/>
          <w:color w:val="000000"/>
          <w:highlight w:val="none"/>
          <w:lang w:eastAsia="zh-CN"/>
        </w:rPr>
        <w:t>的</w:t>
      </w:r>
      <w:r>
        <w:rPr>
          <w:rFonts w:hint="default" w:ascii="Times New Roman" w:hAnsi="Times New Roman" w:eastAsia="方正仿宋简体" w:cs="Times New Roman"/>
          <w:color w:val="000000"/>
          <w:highlight w:val="none"/>
        </w:rPr>
        <w:t>基础教育名师享受职称直聘政策，聘任时可不受单位岗位职数限制直接聘任相应的岗位，实行专项管理。符合相关行政管理岗位任职要求的基础教育名师，本人有任职意愿且经考核适岗的，可任命为学校校级干部或中层干部。</w:t>
      </w:r>
    </w:p>
    <w:p w14:paraId="3045D6E7">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责任单位：市委编办，市人社局、教育局，各县（市、区）人民政府，泉州开发区、泉州台商投资区管委会</w:t>
      </w:r>
    </w:p>
    <w:p w14:paraId="4665F5DD">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3.打造专业发展攀升绿色通道。</w:t>
      </w:r>
      <w:r>
        <w:rPr>
          <w:rFonts w:hint="default" w:ascii="Times New Roman" w:hAnsi="Times New Roman" w:eastAsia="方正仿宋简体" w:cs="Times New Roman"/>
          <w:color w:val="000000"/>
          <w:highlight w:val="none"/>
        </w:rPr>
        <w:t>市、县两级创造条件，支持基础教育名师申报教育教学成果奖和更高级别的人才称号。</w:t>
      </w:r>
      <w:r>
        <w:rPr>
          <w:rFonts w:hint="default" w:ascii="Times New Roman" w:hAnsi="Times New Roman" w:eastAsia="方正仿宋简体" w:cs="Times New Roman"/>
          <w:color w:val="000000"/>
          <w:highlight w:val="none"/>
          <w:lang w:eastAsia="zh-CN"/>
        </w:rPr>
        <w:t>支持</w:t>
      </w:r>
      <w:r>
        <w:rPr>
          <w:rFonts w:hint="default" w:ascii="Times New Roman" w:hAnsi="Times New Roman" w:eastAsia="方正仿宋简体" w:cs="Times New Roman"/>
          <w:color w:val="000000"/>
          <w:highlight w:val="none"/>
        </w:rPr>
        <w:t>符合相应资质的基础教育名师推荐参与荣誉表彰、教育教学竞赛项目、专业称号、更高级别人才称号等评审。</w:t>
      </w:r>
      <w:r>
        <w:rPr>
          <w:rFonts w:hint="default" w:ascii="Times New Roman" w:hAnsi="Times New Roman" w:eastAsia="方正仿宋简体" w:cs="Times New Roman"/>
          <w:color w:val="000000"/>
          <w:highlight w:val="none"/>
          <w:lang w:eastAsia="zh-CN"/>
        </w:rPr>
        <w:t>支持</w:t>
      </w:r>
      <w:r>
        <w:rPr>
          <w:rFonts w:hint="default" w:ascii="Times New Roman" w:hAnsi="Times New Roman" w:eastAsia="方正仿宋简体" w:cs="Times New Roman"/>
          <w:color w:val="000000"/>
          <w:highlight w:val="none"/>
        </w:rPr>
        <w:t>基础教育名师根据学校教育教学安排，</w:t>
      </w:r>
      <w:r>
        <w:rPr>
          <w:rFonts w:hint="default" w:ascii="Times New Roman" w:hAnsi="Times New Roman" w:eastAsia="方正仿宋简体" w:cs="Times New Roman"/>
          <w:color w:val="000000"/>
          <w:highlight w:val="none"/>
          <w:lang w:eastAsia="zh-CN"/>
        </w:rPr>
        <w:t>积极</w:t>
      </w:r>
      <w:r>
        <w:rPr>
          <w:rFonts w:hint="default" w:ascii="Times New Roman" w:hAnsi="Times New Roman" w:eastAsia="方正仿宋简体" w:cs="Times New Roman"/>
          <w:color w:val="000000"/>
          <w:highlight w:val="none"/>
        </w:rPr>
        <w:t>参与市、县两级教育行政部门组织的教师教育培训、专业提升、人才研修等专业发展攀升项目。</w:t>
      </w:r>
    </w:p>
    <w:p w14:paraId="3548252C">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责任单位：市教育局、人社局，市委组织部，</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0DEAE543">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4.就高享受经济补助。</w:t>
      </w:r>
      <w:r>
        <w:rPr>
          <w:rFonts w:hint="default" w:ascii="Times New Roman" w:hAnsi="Times New Roman" w:eastAsia="方正仿宋简体" w:cs="Times New Roman"/>
          <w:color w:val="000000"/>
          <w:highlight w:val="none"/>
        </w:rPr>
        <w:t>引聘基础教育名师可按引聘层次就高享受</w:t>
      </w:r>
      <w:r>
        <w:rPr>
          <w:rFonts w:hint="default" w:ascii="Times New Roman" w:hAnsi="Times New Roman" w:eastAsia="方正仿宋简体" w:cs="Times New Roman"/>
          <w:color w:val="000000"/>
          <w:highlight w:val="none"/>
          <w:lang w:val="en-US" w:eastAsia="zh-CN"/>
        </w:rPr>
        <w:t>60</w:t>
      </w:r>
      <w:r>
        <w:rPr>
          <w:rFonts w:hint="default" w:ascii="Times New Roman" w:hAnsi="Times New Roman" w:eastAsia="方正仿宋简体" w:cs="Times New Roman"/>
          <w:color w:val="000000"/>
          <w:highlight w:val="none"/>
        </w:rPr>
        <w:t>万元至</w:t>
      </w:r>
      <w:r>
        <w:rPr>
          <w:rFonts w:hint="default" w:ascii="Times New Roman" w:hAnsi="Times New Roman" w:eastAsia="方正仿宋简体" w:cs="Times New Roman"/>
          <w:color w:val="000000"/>
          <w:highlight w:val="none"/>
          <w:lang w:val="en-US" w:eastAsia="zh-CN"/>
        </w:rPr>
        <w:t>200</w:t>
      </w:r>
      <w:r>
        <w:rPr>
          <w:rFonts w:hint="default" w:ascii="Times New Roman" w:hAnsi="Times New Roman" w:eastAsia="方正仿宋简体" w:cs="Times New Roman"/>
          <w:color w:val="000000"/>
          <w:highlight w:val="none"/>
        </w:rPr>
        <w:t>万元的补助，其中：</w:t>
      </w:r>
    </w:p>
    <w:p w14:paraId="6B4E064D">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color w:val="000000"/>
          <w:highlight w:val="none"/>
        </w:rPr>
        <w:t>符合我市</w:t>
      </w:r>
      <w:r>
        <w:rPr>
          <w:rFonts w:hint="default" w:ascii="Times New Roman" w:hAnsi="Times New Roman" w:eastAsia="方正仿宋简体" w:cs="Times New Roman"/>
          <w:color w:val="000000"/>
          <w:highlight w:val="none"/>
          <w:lang w:eastAsia="zh-CN"/>
        </w:rPr>
        <w:t>引进类</w:t>
      </w:r>
      <w:r>
        <w:rPr>
          <w:rFonts w:hint="default" w:ascii="Times New Roman" w:hAnsi="Times New Roman" w:eastAsia="方正仿宋简体" w:cs="Times New Roman"/>
          <w:color w:val="000000"/>
          <w:highlight w:val="none"/>
        </w:rPr>
        <w:t>第一层次</w:t>
      </w:r>
      <w:r>
        <w:rPr>
          <w:rFonts w:hint="default" w:ascii="Times New Roman" w:hAnsi="Times New Roman" w:eastAsia="方正仿宋简体" w:cs="Times New Roman"/>
          <w:color w:val="000000"/>
          <w:highlight w:val="none"/>
          <w:lang w:eastAsia="zh-CN"/>
        </w:rPr>
        <w:t>人才条件</w:t>
      </w:r>
      <w:r>
        <w:rPr>
          <w:rFonts w:hint="default" w:ascii="Times New Roman" w:hAnsi="Times New Roman" w:eastAsia="方正仿宋简体" w:cs="Times New Roman"/>
          <w:color w:val="000000"/>
          <w:highlight w:val="none"/>
          <w:lang w:val="en-US" w:eastAsia="zh-CN"/>
        </w:rPr>
        <w:t>的基础</w:t>
      </w:r>
      <w:r>
        <w:rPr>
          <w:rFonts w:hint="default" w:ascii="Times New Roman" w:hAnsi="Times New Roman" w:eastAsia="方正仿宋简体" w:cs="Times New Roman"/>
          <w:color w:val="000000"/>
          <w:highlight w:val="none"/>
          <w:lang w:eastAsia="zh-CN"/>
        </w:rPr>
        <w:t>教育名师</w:t>
      </w:r>
      <w:r>
        <w:rPr>
          <w:rFonts w:hint="default" w:ascii="Times New Roman" w:hAnsi="Times New Roman" w:eastAsia="方正仿宋简体" w:cs="Times New Roman"/>
          <w:color w:val="000000"/>
          <w:highlight w:val="none"/>
        </w:rPr>
        <w:t>可</w:t>
      </w:r>
      <w:r>
        <w:rPr>
          <w:rFonts w:hint="default" w:ascii="Times New Roman" w:hAnsi="Times New Roman" w:eastAsia="方正仿宋简体" w:cs="Times New Roman"/>
          <w:color w:val="000000"/>
          <w:highlight w:val="none"/>
          <w:lang w:eastAsia="zh-CN"/>
        </w:rPr>
        <w:t>按</w:t>
      </w:r>
      <w:r>
        <w:rPr>
          <w:rFonts w:hint="default" w:ascii="Times New Roman" w:hAnsi="Times New Roman" w:eastAsia="方正仿宋简体" w:cs="Times New Roman"/>
          <w:color w:val="000000"/>
          <w:highlight w:val="none"/>
        </w:rPr>
        <w:t>泉政办〔2021〕29号</w:t>
      </w:r>
      <w:r>
        <w:rPr>
          <w:rFonts w:hint="default" w:ascii="Times New Roman" w:hAnsi="Times New Roman" w:eastAsia="方正仿宋简体" w:cs="Times New Roman"/>
          <w:color w:val="000000"/>
          <w:highlight w:val="none"/>
          <w:lang w:eastAsia="zh-CN"/>
        </w:rPr>
        <w:t>文件原有经费渠道</w:t>
      </w:r>
      <w:r>
        <w:rPr>
          <w:rFonts w:hint="default" w:ascii="Times New Roman" w:hAnsi="Times New Roman" w:eastAsia="方正仿宋简体" w:cs="Times New Roman"/>
          <w:color w:val="000000"/>
          <w:highlight w:val="none"/>
        </w:rPr>
        <w:t>享受2</w:t>
      </w:r>
      <w:r>
        <w:rPr>
          <w:rFonts w:hint="default" w:ascii="Times New Roman" w:hAnsi="Times New Roman" w:eastAsia="方正仿宋简体" w:cs="Times New Roman"/>
          <w:color w:val="000000"/>
          <w:highlight w:val="none"/>
          <w:lang w:val="en-US" w:eastAsia="zh-CN"/>
        </w:rPr>
        <w:t>00</w:t>
      </w:r>
      <w:r>
        <w:rPr>
          <w:rFonts w:hint="default" w:ascii="Times New Roman" w:hAnsi="Times New Roman" w:eastAsia="方正仿宋简体" w:cs="Times New Roman"/>
          <w:color w:val="000000"/>
          <w:highlight w:val="none"/>
        </w:rPr>
        <w:t>万元的</w:t>
      </w:r>
      <w:r>
        <w:rPr>
          <w:rFonts w:hint="default" w:ascii="Times New Roman" w:hAnsi="Times New Roman" w:eastAsia="方正仿宋简体" w:cs="Times New Roman"/>
          <w:color w:val="000000"/>
          <w:highlight w:val="none"/>
          <w:lang w:eastAsia="zh-CN"/>
        </w:rPr>
        <w:t>工作生活补助</w:t>
      </w:r>
      <w:r>
        <w:rPr>
          <w:rFonts w:hint="default" w:ascii="Times New Roman" w:hAnsi="Times New Roman" w:eastAsia="方正仿宋简体" w:cs="Times New Roman"/>
          <w:color w:val="000000"/>
          <w:highlight w:val="none"/>
        </w:rPr>
        <w:t>，其中安家补助100万元、工作经费100万元</w:t>
      </w:r>
      <w:r>
        <w:rPr>
          <w:rFonts w:hint="default" w:ascii="Times New Roman" w:hAnsi="Times New Roman" w:eastAsia="方正仿宋简体" w:cs="Times New Roman"/>
          <w:color w:val="000000"/>
          <w:highlight w:val="none"/>
          <w:lang w:eastAsia="zh-CN"/>
        </w:rPr>
        <w:t>。</w:t>
      </w:r>
    </w:p>
    <w:p w14:paraId="25B51031">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符合我市</w:t>
      </w:r>
      <w:r>
        <w:rPr>
          <w:rFonts w:hint="default" w:ascii="Times New Roman" w:hAnsi="Times New Roman" w:eastAsia="方正仿宋简体" w:cs="Times New Roman"/>
          <w:color w:val="000000"/>
          <w:highlight w:val="none"/>
          <w:lang w:eastAsia="zh-CN"/>
        </w:rPr>
        <w:t>引进类</w:t>
      </w:r>
      <w:r>
        <w:rPr>
          <w:rFonts w:hint="default" w:ascii="Times New Roman" w:hAnsi="Times New Roman" w:eastAsia="方正仿宋简体" w:cs="Times New Roman"/>
          <w:color w:val="000000"/>
          <w:highlight w:val="none"/>
        </w:rPr>
        <w:t>第二层次</w:t>
      </w:r>
      <w:r>
        <w:rPr>
          <w:rFonts w:hint="default" w:ascii="Times New Roman" w:hAnsi="Times New Roman" w:eastAsia="方正仿宋简体" w:cs="Times New Roman"/>
          <w:color w:val="000000"/>
          <w:highlight w:val="none"/>
          <w:lang w:eastAsia="zh-CN"/>
        </w:rPr>
        <w:t>人才条件</w:t>
      </w:r>
      <w:r>
        <w:rPr>
          <w:rFonts w:hint="default" w:ascii="Times New Roman" w:hAnsi="Times New Roman" w:eastAsia="方正仿宋简体" w:cs="Times New Roman"/>
          <w:color w:val="000000"/>
          <w:highlight w:val="none"/>
        </w:rPr>
        <w:t>的</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lang w:eastAsia="zh-CN"/>
        </w:rPr>
        <w:t>名师</w:t>
      </w:r>
      <w:r>
        <w:rPr>
          <w:rFonts w:hint="default" w:ascii="Times New Roman" w:hAnsi="Times New Roman" w:eastAsia="方正仿宋简体" w:cs="Times New Roman"/>
          <w:color w:val="000000"/>
          <w:highlight w:val="none"/>
        </w:rPr>
        <w:t>可按泉政办〔2021〕29号文</w:t>
      </w:r>
      <w:r>
        <w:rPr>
          <w:rFonts w:hint="default" w:ascii="Times New Roman" w:hAnsi="Times New Roman" w:eastAsia="方正仿宋简体" w:cs="Times New Roman"/>
          <w:color w:val="000000"/>
          <w:highlight w:val="none"/>
          <w:lang w:eastAsia="zh-CN"/>
        </w:rPr>
        <w:t>件</w:t>
      </w:r>
      <w:r>
        <w:rPr>
          <w:rFonts w:hint="default" w:ascii="Times New Roman" w:hAnsi="Times New Roman" w:eastAsia="方正仿宋简体" w:cs="Times New Roman"/>
          <w:color w:val="000000"/>
          <w:highlight w:val="none"/>
        </w:rPr>
        <w:t>原有经费渠道享受</w:t>
      </w:r>
      <w:r>
        <w:rPr>
          <w:rFonts w:hint="default" w:ascii="Times New Roman" w:hAnsi="Times New Roman" w:eastAsia="方正仿宋简体" w:cs="Times New Roman"/>
          <w:color w:val="000000"/>
          <w:highlight w:val="none"/>
          <w:lang w:val="en-US" w:eastAsia="zh-CN"/>
        </w:rPr>
        <w:t>100</w:t>
      </w:r>
      <w:r>
        <w:rPr>
          <w:rFonts w:hint="default" w:ascii="Times New Roman" w:hAnsi="Times New Roman" w:eastAsia="方正仿宋简体" w:cs="Times New Roman"/>
          <w:color w:val="000000"/>
          <w:highlight w:val="none"/>
        </w:rPr>
        <w:t>万元的工作生活补助，其中安家补助50万元、工作经费50万元</w:t>
      </w:r>
      <w:r>
        <w:rPr>
          <w:rFonts w:hint="default" w:ascii="Times New Roman" w:hAnsi="Times New Roman" w:eastAsia="方正仿宋简体" w:cs="Times New Roman"/>
          <w:color w:val="000000"/>
          <w:highlight w:val="none"/>
          <w:lang w:eastAsia="zh-CN"/>
        </w:rPr>
        <w:t>。</w:t>
      </w:r>
    </w:p>
    <w:p w14:paraId="2D47309F">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符合我市</w:t>
      </w:r>
      <w:r>
        <w:rPr>
          <w:rFonts w:hint="default" w:ascii="Times New Roman" w:hAnsi="Times New Roman" w:eastAsia="方正仿宋简体" w:cs="Times New Roman"/>
          <w:color w:val="000000"/>
          <w:highlight w:val="none"/>
          <w:lang w:eastAsia="zh-CN"/>
        </w:rPr>
        <w:t>引进类</w:t>
      </w:r>
      <w:r>
        <w:rPr>
          <w:rFonts w:hint="default" w:ascii="Times New Roman" w:hAnsi="Times New Roman" w:eastAsia="方正仿宋简体" w:cs="Times New Roman"/>
          <w:color w:val="000000"/>
          <w:highlight w:val="none"/>
        </w:rPr>
        <w:t>第三层次</w:t>
      </w:r>
      <w:r>
        <w:rPr>
          <w:rFonts w:hint="default" w:ascii="Times New Roman" w:hAnsi="Times New Roman" w:eastAsia="方正仿宋简体" w:cs="Times New Roman"/>
          <w:color w:val="000000"/>
          <w:highlight w:val="none"/>
          <w:lang w:eastAsia="zh-CN"/>
        </w:rPr>
        <w:t>人才条件</w:t>
      </w:r>
      <w:r>
        <w:rPr>
          <w:rFonts w:hint="default" w:ascii="Times New Roman" w:hAnsi="Times New Roman" w:eastAsia="方正仿宋简体" w:cs="Times New Roman"/>
          <w:color w:val="000000"/>
          <w:highlight w:val="none"/>
        </w:rPr>
        <w:t>的</w:t>
      </w:r>
      <w:r>
        <w:rPr>
          <w:rFonts w:hint="default" w:ascii="Times New Roman" w:hAnsi="Times New Roman" w:eastAsia="方正仿宋简体" w:cs="Times New Roman"/>
          <w:color w:val="000000"/>
          <w:highlight w:val="none"/>
          <w:lang w:val="en-US" w:eastAsia="zh-CN"/>
        </w:rPr>
        <w:t>基础</w:t>
      </w:r>
      <w:r>
        <w:rPr>
          <w:rFonts w:hint="default" w:ascii="Times New Roman" w:hAnsi="Times New Roman" w:eastAsia="方正仿宋简体" w:cs="Times New Roman"/>
          <w:color w:val="000000"/>
          <w:highlight w:val="none"/>
          <w:lang w:eastAsia="zh-CN"/>
        </w:rPr>
        <w:t>教育名师</w:t>
      </w:r>
      <w:r>
        <w:rPr>
          <w:rFonts w:hint="default" w:ascii="Times New Roman" w:hAnsi="Times New Roman" w:eastAsia="方正仿宋简体" w:cs="Times New Roman"/>
          <w:color w:val="000000"/>
          <w:highlight w:val="none"/>
          <w:lang w:val="en-US" w:eastAsia="zh-CN"/>
        </w:rPr>
        <w:t>可享受最高90万元的补助，即</w:t>
      </w:r>
      <w:r>
        <w:rPr>
          <w:rFonts w:hint="default" w:ascii="Times New Roman" w:hAnsi="Times New Roman" w:eastAsia="方正仿宋简体" w:cs="Times New Roman"/>
          <w:color w:val="000000"/>
          <w:highlight w:val="none"/>
          <w:lang w:eastAsia="zh-CN"/>
        </w:rPr>
        <w:t>除</w:t>
      </w:r>
      <w:r>
        <w:rPr>
          <w:rFonts w:hint="default" w:ascii="Times New Roman" w:hAnsi="Times New Roman" w:eastAsia="方正仿宋简体" w:cs="Times New Roman"/>
          <w:color w:val="000000"/>
          <w:highlight w:val="none"/>
        </w:rPr>
        <w:t>按泉政办〔2021〕29号文</w:t>
      </w:r>
      <w:r>
        <w:rPr>
          <w:rFonts w:hint="default" w:ascii="Times New Roman" w:hAnsi="Times New Roman" w:eastAsia="方正仿宋简体" w:cs="Times New Roman"/>
          <w:color w:val="000000"/>
          <w:highlight w:val="none"/>
          <w:lang w:eastAsia="zh-CN"/>
        </w:rPr>
        <w:t>件</w:t>
      </w:r>
      <w:r>
        <w:rPr>
          <w:rFonts w:hint="default" w:ascii="Times New Roman" w:hAnsi="Times New Roman" w:eastAsia="方正仿宋简体" w:cs="Times New Roman"/>
          <w:color w:val="000000"/>
          <w:highlight w:val="none"/>
        </w:rPr>
        <w:t>原有经费渠道享受</w:t>
      </w:r>
      <w:r>
        <w:rPr>
          <w:rFonts w:hint="default" w:ascii="Times New Roman" w:hAnsi="Times New Roman" w:eastAsia="方正仿宋简体" w:cs="Times New Roman"/>
          <w:color w:val="000000"/>
          <w:highlight w:val="none"/>
          <w:lang w:val="en-US" w:eastAsia="zh-CN"/>
        </w:rPr>
        <w:t>50</w:t>
      </w:r>
      <w:r>
        <w:rPr>
          <w:rFonts w:hint="default" w:ascii="Times New Roman" w:hAnsi="Times New Roman" w:eastAsia="方正仿宋简体" w:cs="Times New Roman"/>
          <w:color w:val="000000"/>
          <w:highlight w:val="none"/>
        </w:rPr>
        <w:t>万元的工作生活补助</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其中安家补助</w:t>
      </w:r>
      <w:r>
        <w:rPr>
          <w:rFonts w:hint="default" w:ascii="Times New Roman" w:hAnsi="Times New Roman" w:eastAsia="方正仿宋简体" w:cs="Times New Roman"/>
          <w:color w:val="000000"/>
          <w:highlight w:val="none"/>
          <w:lang w:eastAsia="zh-CN"/>
        </w:rPr>
        <w:t>2</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万元、工作经费</w:t>
      </w:r>
      <w:r>
        <w:rPr>
          <w:rFonts w:hint="default" w:ascii="Times New Roman" w:hAnsi="Times New Roman" w:eastAsia="方正仿宋简体" w:cs="Times New Roman"/>
          <w:color w:val="000000"/>
          <w:highlight w:val="none"/>
          <w:lang w:eastAsia="zh-CN"/>
        </w:rPr>
        <w:t>2</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eastAsia="zh-CN"/>
        </w:rPr>
        <w:t>）外</w:t>
      </w:r>
      <w:r>
        <w:rPr>
          <w:rFonts w:hint="default" w:ascii="Times New Roman" w:hAnsi="Times New Roman" w:eastAsia="方正仿宋简体" w:cs="Times New Roman"/>
          <w:color w:val="000000"/>
          <w:highlight w:val="none"/>
        </w:rPr>
        <w:t>，</w:t>
      </w:r>
      <w:r>
        <w:rPr>
          <w:rFonts w:hint="default" w:ascii="Times New Roman" w:hAnsi="Times New Roman" w:eastAsia="方正仿宋简体" w:cs="Times New Roman"/>
          <w:color w:val="000000"/>
          <w:highlight w:val="none"/>
          <w:lang w:eastAsia="zh-CN"/>
        </w:rPr>
        <w:t>可从教育专项经费渠道另行追加最高</w:t>
      </w:r>
      <w:r>
        <w:rPr>
          <w:rFonts w:hint="default" w:ascii="Times New Roman" w:hAnsi="Times New Roman" w:eastAsia="方正仿宋简体" w:cs="Times New Roman"/>
          <w:color w:val="000000"/>
          <w:highlight w:val="none"/>
          <w:lang w:val="en-US" w:eastAsia="zh-CN"/>
        </w:rPr>
        <w:t>40</w:t>
      </w:r>
      <w:r>
        <w:rPr>
          <w:rFonts w:hint="default" w:ascii="Times New Roman" w:hAnsi="Times New Roman" w:eastAsia="方正仿宋简体" w:cs="Times New Roman"/>
          <w:color w:val="000000"/>
          <w:highlight w:val="none"/>
          <w:lang w:eastAsia="zh-CN"/>
        </w:rPr>
        <w:t>万元的人才特殊补助（</w:t>
      </w:r>
      <w:r>
        <w:rPr>
          <w:rFonts w:hint="default" w:ascii="Times New Roman" w:hAnsi="Times New Roman" w:eastAsia="方正仿宋简体" w:cs="Times New Roman"/>
          <w:color w:val="000000"/>
          <w:highlight w:val="none"/>
        </w:rPr>
        <w:t>其中安家补助</w:t>
      </w:r>
      <w:r>
        <w:rPr>
          <w:rFonts w:hint="default" w:ascii="Times New Roman" w:hAnsi="Times New Roman" w:eastAsia="方正仿宋简体" w:cs="Times New Roman"/>
          <w:color w:val="000000"/>
          <w:highlight w:val="none"/>
          <w:lang w:val="en-US" w:eastAsia="zh-CN"/>
        </w:rPr>
        <w:t>20</w:t>
      </w:r>
      <w:r>
        <w:rPr>
          <w:rFonts w:hint="default" w:ascii="Times New Roman" w:hAnsi="Times New Roman" w:eastAsia="方正仿宋简体" w:cs="Times New Roman"/>
          <w:color w:val="000000"/>
          <w:highlight w:val="none"/>
        </w:rPr>
        <w:t>万元、工作经费</w:t>
      </w:r>
      <w:r>
        <w:rPr>
          <w:rFonts w:hint="default" w:ascii="Times New Roman" w:hAnsi="Times New Roman" w:eastAsia="方正仿宋简体" w:cs="Times New Roman"/>
          <w:color w:val="000000"/>
          <w:highlight w:val="none"/>
          <w:lang w:val="en-US" w:eastAsia="zh-CN"/>
        </w:rPr>
        <w:t>20</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eastAsia="zh-CN"/>
        </w:rPr>
        <w:t>）。</w:t>
      </w:r>
    </w:p>
    <w:p w14:paraId="70CB7E86">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符合我市</w:t>
      </w:r>
      <w:r>
        <w:rPr>
          <w:rFonts w:hint="default" w:ascii="Times New Roman" w:hAnsi="Times New Roman" w:eastAsia="方正仿宋简体" w:cs="Times New Roman"/>
          <w:color w:val="000000"/>
          <w:highlight w:val="none"/>
          <w:lang w:eastAsia="zh-CN"/>
        </w:rPr>
        <w:t>引进类</w:t>
      </w:r>
      <w:r>
        <w:rPr>
          <w:rFonts w:hint="default" w:ascii="Times New Roman" w:hAnsi="Times New Roman" w:eastAsia="方正仿宋简体" w:cs="Times New Roman"/>
          <w:color w:val="000000"/>
          <w:highlight w:val="none"/>
        </w:rPr>
        <w:t>第四层次</w:t>
      </w:r>
      <w:r>
        <w:rPr>
          <w:rFonts w:hint="default" w:ascii="Times New Roman" w:hAnsi="Times New Roman" w:eastAsia="方正仿宋简体" w:cs="Times New Roman"/>
          <w:color w:val="000000"/>
          <w:highlight w:val="none"/>
          <w:lang w:eastAsia="zh-CN"/>
        </w:rPr>
        <w:t>人才条件</w:t>
      </w:r>
      <w:r>
        <w:rPr>
          <w:rFonts w:hint="default" w:ascii="Times New Roman" w:hAnsi="Times New Roman" w:eastAsia="方正仿宋简体" w:cs="Times New Roman"/>
          <w:color w:val="000000"/>
          <w:highlight w:val="none"/>
        </w:rPr>
        <w:t>的</w:t>
      </w:r>
      <w:r>
        <w:rPr>
          <w:rFonts w:hint="default" w:ascii="Times New Roman" w:hAnsi="Times New Roman" w:eastAsia="方正仿宋简体" w:cs="Times New Roman"/>
          <w:color w:val="000000"/>
          <w:highlight w:val="none"/>
          <w:lang w:val="en-US" w:eastAsia="zh-CN"/>
        </w:rPr>
        <w:t>基础</w:t>
      </w:r>
      <w:r>
        <w:rPr>
          <w:rFonts w:hint="default" w:ascii="Times New Roman" w:hAnsi="Times New Roman" w:eastAsia="方正仿宋简体" w:cs="Times New Roman"/>
          <w:color w:val="000000"/>
          <w:highlight w:val="none"/>
          <w:lang w:eastAsia="zh-CN"/>
        </w:rPr>
        <w:t>教育名师</w:t>
      </w:r>
      <w:r>
        <w:rPr>
          <w:rFonts w:hint="default" w:ascii="Times New Roman" w:hAnsi="Times New Roman" w:eastAsia="方正仿宋简体" w:cs="Times New Roman"/>
          <w:color w:val="000000"/>
          <w:highlight w:val="none"/>
        </w:rPr>
        <w:t>可享受</w:t>
      </w:r>
      <w:r>
        <w:rPr>
          <w:rFonts w:hint="default" w:ascii="Times New Roman" w:hAnsi="Times New Roman" w:eastAsia="方正仿宋简体" w:cs="Times New Roman"/>
          <w:color w:val="000000"/>
          <w:highlight w:val="none"/>
          <w:lang w:eastAsia="zh-CN"/>
        </w:rPr>
        <w:t>最高</w:t>
      </w:r>
      <w:r>
        <w:rPr>
          <w:rFonts w:hint="default" w:ascii="Times New Roman" w:hAnsi="Times New Roman" w:eastAsia="方正仿宋简体" w:cs="Times New Roman"/>
          <w:color w:val="000000"/>
          <w:highlight w:val="none"/>
          <w:lang w:val="en-US" w:eastAsia="zh-CN"/>
        </w:rPr>
        <w:t>80</w:t>
      </w:r>
      <w:r>
        <w:rPr>
          <w:rFonts w:hint="default" w:ascii="Times New Roman" w:hAnsi="Times New Roman" w:eastAsia="方正仿宋简体" w:cs="Times New Roman"/>
          <w:color w:val="000000"/>
          <w:highlight w:val="none"/>
        </w:rPr>
        <w:t>万元的补助，即</w:t>
      </w:r>
      <w:r>
        <w:rPr>
          <w:rFonts w:hint="default" w:ascii="Times New Roman" w:hAnsi="Times New Roman" w:eastAsia="方正仿宋简体" w:cs="Times New Roman"/>
          <w:color w:val="000000"/>
          <w:highlight w:val="none"/>
          <w:lang w:eastAsia="zh-CN"/>
        </w:rPr>
        <w:t>除</w:t>
      </w:r>
      <w:r>
        <w:rPr>
          <w:rFonts w:hint="default" w:ascii="Times New Roman" w:hAnsi="Times New Roman" w:eastAsia="方正仿宋简体" w:cs="Times New Roman"/>
          <w:color w:val="000000"/>
          <w:highlight w:val="none"/>
        </w:rPr>
        <w:t>按泉政办〔2021〕29号文</w:t>
      </w:r>
      <w:r>
        <w:rPr>
          <w:rFonts w:hint="default" w:ascii="Times New Roman" w:hAnsi="Times New Roman" w:eastAsia="方正仿宋简体" w:cs="Times New Roman"/>
          <w:color w:val="000000"/>
          <w:highlight w:val="none"/>
          <w:lang w:eastAsia="zh-CN"/>
        </w:rPr>
        <w:t>件</w:t>
      </w:r>
      <w:r>
        <w:rPr>
          <w:rFonts w:hint="default" w:ascii="Times New Roman" w:hAnsi="Times New Roman" w:eastAsia="方正仿宋简体" w:cs="Times New Roman"/>
          <w:color w:val="000000"/>
          <w:highlight w:val="none"/>
        </w:rPr>
        <w:t>原有经费渠道享受</w:t>
      </w:r>
      <w:r>
        <w:rPr>
          <w:rFonts w:hint="default" w:ascii="Times New Roman" w:hAnsi="Times New Roman" w:eastAsia="方正仿宋简体" w:cs="Times New Roman"/>
          <w:color w:val="000000"/>
          <w:highlight w:val="none"/>
          <w:lang w:val="en-US" w:eastAsia="zh-CN"/>
        </w:rPr>
        <w:t>30</w:t>
      </w:r>
      <w:r>
        <w:rPr>
          <w:rFonts w:hint="default" w:ascii="Times New Roman" w:hAnsi="Times New Roman" w:eastAsia="方正仿宋简体" w:cs="Times New Roman"/>
          <w:color w:val="000000"/>
          <w:highlight w:val="none"/>
        </w:rPr>
        <w:t>万元的工作生活补助</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其中安家补助</w:t>
      </w:r>
      <w:r>
        <w:rPr>
          <w:rFonts w:hint="default" w:ascii="Times New Roman" w:hAnsi="Times New Roman" w:eastAsia="方正仿宋简体" w:cs="Times New Roman"/>
          <w:color w:val="000000"/>
          <w:highlight w:val="none"/>
          <w:lang w:eastAsia="zh-CN"/>
        </w:rPr>
        <w:t>1</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万元、工作经费</w:t>
      </w:r>
      <w:r>
        <w:rPr>
          <w:rFonts w:hint="default" w:ascii="Times New Roman" w:hAnsi="Times New Roman" w:eastAsia="方正仿宋简体" w:cs="Times New Roman"/>
          <w:color w:val="000000"/>
          <w:highlight w:val="none"/>
          <w:lang w:eastAsia="zh-CN"/>
        </w:rPr>
        <w:t>1</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eastAsia="zh-CN"/>
        </w:rPr>
        <w:t>）外</w:t>
      </w:r>
      <w:r>
        <w:rPr>
          <w:rFonts w:hint="default" w:ascii="Times New Roman" w:hAnsi="Times New Roman" w:eastAsia="方正仿宋简体" w:cs="Times New Roman"/>
          <w:color w:val="000000"/>
          <w:highlight w:val="none"/>
        </w:rPr>
        <w:t>，</w:t>
      </w:r>
      <w:r>
        <w:rPr>
          <w:rFonts w:hint="default" w:ascii="Times New Roman" w:hAnsi="Times New Roman" w:eastAsia="方正仿宋简体" w:cs="Times New Roman"/>
          <w:color w:val="000000"/>
          <w:highlight w:val="none"/>
          <w:lang w:eastAsia="zh-CN"/>
        </w:rPr>
        <w:t>可从教育专项经费渠道另行追加最高</w:t>
      </w:r>
      <w:r>
        <w:rPr>
          <w:rFonts w:hint="default" w:ascii="Times New Roman" w:hAnsi="Times New Roman" w:eastAsia="方正仿宋简体" w:cs="Times New Roman"/>
          <w:color w:val="000000"/>
          <w:highlight w:val="none"/>
          <w:lang w:val="en-US" w:eastAsia="zh-CN"/>
        </w:rPr>
        <w:t>50</w:t>
      </w:r>
      <w:r>
        <w:rPr>
          <w:rFonts w:hint="default" w:ascii="Times New Roman" w:hAnsi="Times New Roman" w:eastAsia="方正仿宋简体" w:cs="Times New Roman"/>
          <w:color w:val="000000"/>
          <w:highlight w:val="none"/>
          <w:lang w:eastAsia="zh-CN"/>
        </w:rPr>
        <w:t>万元的人才特殊补助</w:t>
      </w:r>
      <w:r>
        <w:rPr>
          <w:rFonts w:hint="default" w:ascii="Times New Roman" w:hAnsi="Times New Roman" w:eastAsia="方正仿宋简体" w:cs="Times New Roman"/>
          <w:color w:val="000000"/>
          <w:highlight w:val="none"/>
          <w:lang w:val="en-US" w:eastAsia="zh-CN"/>
        </w:rPr>
        <w:t>（</w:t>
      </w:r>
      <w:r>
        <w:rPr>
          <w:rFonts w:hint="default" w:ascii="Times New Roman" w:hAnsi="Times New Roman" w:eastAsia="方正仿宋简体" w:cs="Times New Roman"/>
          <w:color w:val="000000"/>
          <w:highlight w:val="none"/>
        </w:rPr>
        <w:t>其中安家补助</w:t>
      </w:r>
      <w:r>
        <w:rPr>
          <w:rFonts w:hint="default" w:ascii="Times New Roman" w:hAnsi="Times New Roman" w:eastAsia="方正仿宋简体" w:cs="Times New Roman"/>
          <w:color w:val="000000"/>
          <w:highlight w:val="none"/>
          <w:lang w:val="en-US" w:eastAsia="zh-CN"/>
        </w:rPr>
        <w:t>25</w:t>
      </w:r>
      <w:r>
        <w:rPr>
          <w:rFonts w:hint="default" w:ascii="Times New Roman" w:hAnsi="Times New Roman" w:eastAsia="方正仿宋简体" w:cs="Times New Roman"/>
          <w:color w:val="000000"/>
          <w:highlight w:val="none"/>
        </w:rPr>
        <w:t>万元、工作经费</w:t>
      </w:r>
      <w:r>
        <w:rPr>
          <w:rFonts w:hint="default" w:ascii="Times New Roman" w:hAnsi="Times New Roman" w:eastAsia="方正仿宋简体" w:cs="Times New Roman"/>
          <w:color w:val="000000"/>
          <w:highlight w:val="none"/>
          <w:lang w:val="en-US" w:eastAsia="zh-CN"/>
        </w:rPr>
        <w:t>25</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val="en-US" w:eastAsia="zh-CN"/>
        </w:rPr>
        <w:t>）</w:t>
      </w:r>
      <w:r>
        <w:rPr>
          <w:rFonts w:hint="default" w:ascii="Times New Roman" w:hAnsi="Times New Roman" w:eastAsia="方正仿宋简体" w:cs="Times New Roman"/>
          <w:color w:val="000000"/>
          <w:highlight w:val="none"/>
          <w:lang w:eastAsia="zh-CN"/>
        </w:rPr>
        <w:t>。</w:t>
      </w:r>
    </w:p>
    <w:p w14:paraId="58EE54C7">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符合我市</w:t>
      </w:r>
      <w:r>
        <w:rPr>
          <w:rFonts w:hint="default" w:ascii="Times New Roman" w:hAnsi="Times New Roman" w:eastAsia="方正仿宋简体" w:cs="Times New Roman"/>
          <w:color w:val="000000"/>
          <w:highlight w:val="none"/>
          <w:lang w:eastAsia="zh-CN"/>
        </w:rPr>
        <w:t>引进类</w:t>
      </w:r>
      <w:r>
        <w:rPr>
          <w:rFonts w:hint="default" w:ascii="Times New Roman" w:hAnsi="Times New Roman" w:eastAsia="方正仿宋简体" w:cs="Times New Roman"/>
          <w:color w:val="000000"/>
          <w:highlight w:val="none"/>
        </w:rPr>
        <w:t>第五层次</w:t>
      </w:r>
      <w:r>
        <w:rPr>
          <w:rFonts w:hint="default" w:ascii="Times New Roman" w:hAnsi="Times New Roman" w:eastAsia="方正仿宋简体" w:cs="Times New Roman"/>
          <w:color w:val="000000"/>
          <w:highlight w:val="none"/>
          <w:lang w:eastAsia="zh-CN"/>
        </w:rPr>
        <w:t>人才条件</w:t>
      </w:r>
      <w:r>
        <w:rPr>
          <w:rFonts w:hint="default" w:ascii="Times New Roman" w:hAnsi="Times New Roman" w:eastAsia="方正仿宋简体" w:cs="Times New Roman"/>
          <w:color w:val="000000"/>
          <w:highlight w:val="none"/>
        </w:rPr>
        <w:t>的</w:t>
      </w:r>
      <w:r>
        <w:rPr>
          <w:rFonts w:hint="default" w:ascii="Times New Roman" w:hAnsi="Times New Roman" w:eastAsia="方正仿宋简体" w:cs="Times New Roman"/>
          <w:color w:val="000000"/>
          <w:highlight w:val="none"/>
          <w:lang w:val="en-US" w:eastAsia="zh-CN"/>
        </w:rPr>
        <w:t>基础</w:t>
      </w:r>
      <w:r>
        <w:rPr>
          <w:rFonts w:hint="default" w:ascii="Times New Roman" w:hAnsi="Times New Roman" w:eastAsia="方正仿宋简体" w:cs="Times New Roman"/>
          <w:color w:val="000000"/>
          <w:highlight w:val="none"/>
          <w:lang w:eastAsia="zh-CN"/>
        </w:rPr>
        <w:t>教育名师</w:t>
      </w:r>
      <w:r>
        <w:rPr>
          <w:rFonts w:hint="default" w:ascii="Times New Roman" w:hAnsi="Times New Roman" w:eastAsia="方正仿宋简体" w:cs="Times New Roman"/>
          <w:color w:val="000000"/>
          <w:highlight w:val="none"/>
        </w:rPr>
        <w:t>可享受</w:t>
      </w:r>
      <w:r>
        <w:rPr>
          <w:rFonts w:hint="default" w:ascii="Times New Roman" w:hAnsi="Times New Roman" w:eastAsia="方正仿宋简体" w:cs="Times New Roman"/>
          <w:color w:val="000000"/>
          <w:highlight w:val="none"/>
          <w:lang w:eastAsia="zh-CN"/>
        </w:rPr>
        <w:t>最高</w:t>
      </w:r>
      <w:r>
        <w:rPr>
          <w:rFonts w:hint="default" w:ascii="Times New Roman" w:hAnsi="Times New Roman" w:eastAsia="方正仿宋简体" w:cs="Times New Roman"/>
          <w:color w:val="000000"/>
          <w:highlight w:val="none"/>
          <w:lang w:val="en-US" w:eastAsia="zh-CN"/>
        </w:rPr>
        <w:t>6</w:t>
      </w:r>
      <w:r>
        <w:rPr>
          <w:rFonts w:hint="default" w:ascii="Times New Roman" w:hAnsi="Times New Roman" w:eastAsia="方正仿宋简体" w:cs="Times New Roman"/>
          <w:color w:val="000000"/>
          <w:highlight w:val="none"/>
        </w:rPr>
        <w:t>0万元的补助，即除按泉政办〔2021〕29号文</w:t>
      </w:r>
      <w:r>
        <w:rPr>
          <w:rFonts w:hint="default" w:ascii="Times New Roman" w:hAnsi="Times New Roman" w:eastAsia="方正仿宋简体" w:cs="Times New Roman"/>
          <w:color w:val="000000"/>
          <w:highlight w:val="none"/>
          <w:lang w:eastAsia="zh-CN"/>
        </w:rPr>
        <w:t>件</w:t>
      </w:r>
      <w:r>
        <w:rPr>
          <w:rFonts w:hint="default" w:ascii="Times New Roman" w:hAnsi="Times New Roman" w:eastAsia="方正仿宋简体" w:cs="Times New Roman"/>
          <w:color w:val="000000"/>
          <w:highlight w:val="none"/>
        </w:rPr>
        <w:t>原有经费渠道享受</w:t>
      </w:r>
      <w:r>
        <w:rPr>
          <w:rFonts w:hint="default" w:ascii="Times New Roman" w:hAnsi="Times New Roman" w:eastAsia="方正仿宋简体" w:cs="Times New Roman"/>
          <w:color w:val="000000"/>
          <w:highlight w:val="none"/>
          <w:lang w:val="en-US" w:eastAsia="zh-CN"/>
        </w:rPr>
        <w:t>10</w:t>
      </w:r>
      <w:r>
        <w:rPr>
          <w:rFonts w:hint="default" w:ascii="Times New Roman" w:hAnsi="Times New Roman" w:eastAsia="方正仿宋简体" w:cs="Times New Roman"/>
          <w:color w:val="000000"/>
          <w:highlight w:val="none"/>
        </w:rPr>
        <w:t>万元的工作生活补助</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其中安家补助</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万元、工作经费</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外，可从教育专项经费渠道另行追加最高50万元的人才特殊</w:t>
      </w:r>
      <w:r>
        <w:rPr>
          <w:rFonts w:hint="default" w:ascii="Times New Roman" w:hAnsi="Times New Roman" w:eastAsia="方正仿宋简体" w:cs="Times New Roman"/>
          <w:color w:val="000000"/>
          <w:highlight w:val="none"/>
          <w:lang w:eastAsia="zh-CN"/>
        </w:rPr>
        <w:t>补助（</w:t>
      </w:r>
      <w:r>
        <w:rPr>
          <w:rFonts w:hint="default" w:ascii="Times New Roman" w:hAnsi="Times New Roman" w:eastAsia="方正仿宋简体" w:cs="Times New Roman"/>
          <w:color w:val="000000"/>
          <w:highlight w:val="none"/>
        </w:rPr>
        <w:t>其中安家补助</w:t>
      </w:r>
      <w:r>
        <w:rPr>
          <w:rFonts w:hint="default" w:ascii="Times New Roman" w:hAnsi="Times New Roman" w:eastAsia="方正仿宋简体" w:cs="Times New Roman"/>
          <w:color w:val="000000"/>
          <w:highlight w:val="none"/>
          <w:lang w:val="en-US" w:eastAsia="zh-CN"/>
        </w:rPr>
        <w:t>25</w:t>
      </w:r>
      <w:r>
        <w:rPr>
          <w:rFonts w:hint="default" w:ascii="Times New Roman" w:hAnsi="Times New Roman" w:eastAsia="方正仿宋简体" w:cs="Times New Roman"/>
          <w:color w:val="000000"/>
          <w:highlight w:val="none"/>
        </w:rPr>
        <w:t>万元、工作经费</w:t>
      </w:r>
      <w:r>
        <w:rPr>
          <w:rFonts w:hint="default" w:ascii="Times New Roman" w:hAnsi="Times New Roman" w:eastAsia="方正仿宋简体" w:cs="Times New Roman"/>
          <w:color w:val="000000"/>
          <w:highlight w:val="none"/>
          <w:lang w:val="en-US" w:eastAsia="zh-CN"/>
        </w:rPr>
        <w:t>25</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w:t>
      </w:r>
    </w:p>
    <w:p w14:paraId="2F94AB18">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b w:val="0"/>
          <w:bCs w:val="0"/>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责任单位：市教育局、人社局、财政局，各县（市、区）人民政府，泉州开发区、泉州台商投资区管委会</w:t>
      </w:r>
    </w:p>
    <w:p w14:paraId="0CAC0D17">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5.提供全方位安居保障。</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名师可享受泉州市户籍人员购房政策，无住房且未享受购房或租房补助优惠的</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名师可按当地公共租赁住房租金标准承租政府提供的人才公寓。</w:t>
      </w:r>
    </w:p>
    <w:p w14:paraId="64E4BD04">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color w:val="000000"/>
          <w:highlight w:val="none"/>
        </w:rPr>
        <w:t>符合</w:t>
      </w:r>
      <w:r>
        <w:rPr>
          <w:rFonts w:hint="default" w:ascii="Times New Roman" w:hAnsi="Times New Roman" w:eastAsia="方正仿宋简体" w:cs="Times New Roman"/>
          <w:color w:val="000000"/>
          <w:highlight w:val="none"/>
          <w:lang w:eastAsia="zh-CN"/>
        </w:rPr>
        <w:t>我市引进类</w:t>
      </w:r>
      <w:r>
        <w:rPr>
          <w:rFonts w:hint="default" w:ascii="Times New Roman" w:hAnsi="Times New Roman" w:eastAsia="方正仿宋简体" w:cs="Times New Roman"/>
          <w:color w:val="000000"/>
          <w:highlight w:val="none"/>
        </w:rPr>
        <w:t>第一</w:t>
      </w:r>
      <w:r>
        <w:rPr>
          <w:rFonts w:hint="default" w:ascii="Times New Roman" w:hAnsi="Times New Roman" w:eastAsia="方正仿宋简体" w:cs="Times New Roman"/>
          <w:color w:val="000000"/>
          <w:highlight w:val="none"/>
          <w:lang w:eastAsia="zh-CN"/>
        </w:rPr>
        <w:t>层次人才条件</w:t>
      </w:r>
      <w:r>
        <w:rPr>
          <w:rFonts w:hint="default" w:ascii="Times New Roman" w:hAnsi="Times New Roman" w:eastAsia="方正仿宋简体" w:cs="Times New Roman"/>
          <w:color w:val="000000"/>
          <w:highlight w:val="none"/>
        </w:rPr>
        <w:t>的基础教育名师可</w:t>
      </w:r>
      <w:r>
        <w:rPr>
          <w:rFonts w:hint="default" w:ascii="Times New Roman" w:hAnsi="Times New Roman" w:eastAsia="方正仿宋简体" w:cs="Times New Roman"/>
          <w:color w:val="000000"/>
          <w:highlight w:val="none"/>
          <w:lang w:eastAsia="zh-CN"/>
        </w:rPr>
        <w:t>享受</w:t>
      </w:r>
      <w:r>
        <w:rPr>
          <w:rFonts w:hint="default" w:ascii="Times New Roman" w:hAnsi="Times New Roman" w:eastAsia="方正仿宋简体" w:cs="Times New Roman"/>
          <w:color w:val="000000"/>
          <w:highlight w:val="none"/>
        </w:rPr>
        <w:t>购房补助80万元或按上限150平方米给予租金补贴</w:t>
      </w:r>
      <w:r>
        <w:rPr>
          <w:rFonts w:hint="default" w:ascii="Times New Roman" w:hAnsi="Times New Roman" w:eastAsia="方正仿宋简体" w:cs="Times New Roman"/>
          <w:color w:val="000000"/>
          <w:highlight w:val="none"/>
          <w:lang w:eastAsia="zh-CN"/>
        </w:rPr>
        <w:t>，或申请享受</w:t>
      </w:r>
      <w:r>
        <w:rPr>
          <w:rFonts w:hint="default" w:ascii="Times New Roman" w:hAnsi="Times New Roman" w:eastAsia="方正仿宋简体" w:cs="Times New Roman"/>
          <w:color w:val="000000"/>
          <w:highlight w:val="none"/>
        </w:rPr>
        <w:t>免租入住人才公寓，符合承租申请条件累计居住满10年的，还可无偿获赠所租住的人才公寓产权</w:t>
      </w:r>
      <w:r>
        <w:rPr>
          <w:rFonts w:hint="default" w:ascii="Times New Roman" w:hAnsi="Times New Roman" w:eastAsia="方正仿宋简体" w:cs="Times New Roman"/>
          <w:color w:val="000000"/>
          <w:highlight w:val="none"/>
          <w:lang w:eastAsia="zh-CN"/>
        </w:rPr>
        <w:t>。</w:t>
      </w:r>
    </w:p>
    <w:p w14:paraId="43D2AE84">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color w:val="000000"/>
          <w:highlight w:val="none"/>
        </w:rPr>
        <w:t>符合</w:t>
      </w:r>
      <w:r>
        <w:rPr>
          <w:rFonts w:hint="default" w:ascii="Times New Roman" w:hAnsi="Times New Roman" w:eastAsia="方正仿宋简体" w:cs="Times New Roman"/>
          <w:color w:val="000000"/>
          <w:highlight w:val="none"/>
          <w:lang w:eastAsia="zh-CN"/>
        </w:rPr>
        <w:t>我市引进类</w:t>
      </w:r>
      <w:r>
        <w:rPr>
          <w:rFonts w:hint="default" w:ascii="Times New Roman" w:hAnsi="Times New Roman" w:eastAsia="方正仿宋简体" w:cs="Times New Roman"/>
          <w:color w:val="000000"/>
          <w:highlight w:val="none"/>
        </w:rPr>
        <w:t>第</w:t>
      </w:r>
      <w:r>
        <w:rPr>
          <w:rFonts w:hint="default" w:ascii="Times New Roman" w:hAnsi="Times New Roman" w:eastAsia="方正仿宋简体" w:cs="Times New Roman"/>
          <w:color w:val="000000"/>
          <w:highlight w:val="none"/>
          <w:lang w:eastAsia="zh-CN"/>
        </w:rPr>
        <w:t>二层次人才条件</w:t>
      </w:r>
      <w:r>
        <w:rPr>
          <w:rFonts w:hint="default" w:ascii="Times New Roman" w:hAnsi="Times New Roman" w:eastAsia="方正仿宋简体" w:cs="Times New Roman"/>
          <w:color w:val="000000"/>
          <w:highlight w:val="none"/>
        </w:rPr>
        <w:t>的基础教育名师</w:t>
      </w:r>
      <w:r>
        <w:rPr>
          <w:rFonts w:hint="default" w:ascii="Times New Roman" w:hAnsi="Times New Roman" w:eastAsia="方正仿宋简体" w:cs="Times New Roman"/>
          <w:color w:val="000000"/>
          <w:highlight w:val="none"/>
          <w:lang w:eastAsia="zh-CN"/>
        </w:rPr>
        <w:t>可享受</w:t>
      </w:r>
      <w:r>
        <w:rPr>
          <w:rFonts w:hint="default" w:ascii="Times New Roman" w:hAnsi="Times New Roman" w:eastAsia="方正仿宋简体" w:cs="Times New Roman"/>
          <w:color w:val="000000"/>
          <w:highlight w:val="none"/>
        </w:rPr>
        <w:t>购房补助40万元或按上限130平方米给予租金补贴</w:t>
      </w:r>
      <w:r>
        <w:rPr>
          <w:rFonts w:hint="default" w:ascii="Times New Roman" w:hAnsi="Times New Roman" w:eastAsia="方正仿宋简体" w:cs="Times New Roman"/>
          <w:color w:val="000000"/>
          <w:highlight w:val="none"/>
          <w:lang w:eastAsia="zh-CN"/>
        </w:rPr>
        <w:t>；或申请享受</w:t>
      </w:r>
      <w:r>
        <w:rPr>
          <w:rFonts w:hint="default" w:ascii="Times New Roman" w:hAnsi="Times New Roman" w:eastAsia="方正仿宋简体" w:cs="Times New Roman"/>
          <w:color w:val="000000"/>
          <w:highlight w:val="none"/>
        </w:rPr>
        <w:t>免租</w:t>
      </w:r>
      <w:r>
        <w:rPr>
          <w:rFonts w:hint="default" w:ascii="Times New Roman" w:hAnsi="Times New Roman" w:eastAsia="方正仿宋简体" w:cs="Times New Roman"/>
          <w:color w:val="000000"/>
          <w:highlight w:val="none"/>
          <w:lang w:eastAsia="zh-CN"/>
        </w:rPr>
        <w:t>入住人才公寓。</w:t>
      </w:r>
    </w:p>
    <w:p w14:paraId="4A6D4443">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color w:val="000000"/>
          <w:highlight w:val="none"/>
        </w:rPr>
        <w:t>符合</w:t>
      </w:r>
      <w:r>
        <w:rPr>
          <w:rFonts w:hint="default" w:ascii="Times New Roman" w:hAnsi="Times New Roman" w:eastAsia="方正仿宋简体" w:cs="Times New Roman"/>
          <w:color w:val="000000"/>
          <w:highlight w:val="none"/>
          <w:lang w:eastAsia="zh-CN"/>
        </w:rPr>
        <w:t>我市引进类</w:t>
      </w:r>
      <w:r>
        <w:rPr>
          <w:rFonts w:hint="default" w:ascii="Times New Roman" w:hAnsi="Times New Roman" w:eastAsia="方正仿宋简体" w:cs="Times New Roman"/>
          <w:color w:val="000000"/>
          <w:highlight w:val="none"/>
        </w:rPr>
        <w:t>第</w:t>
      </w:r>
      <w:r>
        <w:rPr>
          <w:rFonts w:hint="default" w:ascii="Times New Roman" w:hAnsi="Times New Roman" w:eastAsia="方正仿宋简体" w:cs="Times New Roman"/>
          <w:color w:val="000000"/>
          <w:highlight w:val="none"/>
          <w:lang w:eastAsia="zh-CN"/>
        </w:rPr>
        <w:t>三层次人才条件</w:t>
      </w:r>
      <w:r>
        <w:rPr>
          <w:rFonts w:hint="default" w:ascii="Times New Roman" w:hAnsi="Times New Roman" w:eastAsia="方正仿宋简体" w:cs="Times New Roman"/>
          <w:color w:val="000000"/>
          <w:highlight w:val="none"/>
        </w:rPr>
        <w:t>的基础教育名师</w:t>
      </w:r>
      <w:r>
        <w:rPr>
          <w:rFonts w:hint="default" w:ascii="Times New Roman" w:hAnsi="Times New Roman" w:eastAsia="方正仿宋简体" w:cs="Times New Roman"/>
          <w:color w:val="000000"/>
          <w:highlight w:val="none"/>
          <w:lang w:eastAsia="zh-CN"/>
        </w:rPr>
        <w:t>除可</w:t>
      </w:r>
      <w:r>
        <w:rPr>
          <w:rFonts w:hint="default" w:ascii="Times New Roman" w:hAnsi="Times New Roman" w:eastAsia="方正仿宋简体" w:cs="Times New Roman"/>
          <w:color w:val="000000"/>
          <w:highlight w:val="none"/>
        </w:rPr>
        <w:t>享受购房补助20万元</w:t>
      </w:r>
      <w:r>
        <w:rPr>
          <w:rFonts w:hint="default" w:ascii="Times New Roman" w:hAnsi="Times New Roman" w:eastAsia="方正仿宋简体" w:cs="Times New Roman"/>
          <w:color w:val="000000"/>
          <w:highlight w:val="none"/>
          <w:lang w:eastAsia="zh-CN"/>
        </w:rPr>
        <w:t>外，可从</w:t>
      </w:r>
      <w:r>
        <w:rPr>
          <w:rFonts w:hint="default" w:ascii="Times New Roman" w:hAnsi="Times New Roman" w:eastAsia="方正仿宋简体" w:cs="Times New Roman"/>
          <w:color w:val="000000"/>
          <w:highlight w:val="none"/>
        </w:rPr>
        <w:t>教育专项经费渠道另行追加</w:t>
      </w:r>
      <w:r>
        <w:rPr>
          <w:rFonts w:hint="default" w:ascii="Times New Roman" w:hAnsi="Times New Roman" w:eastAsia="方正仿宋简体" w:cs="Times New Roman"/>
          <w:color w:val="000000"/>
          <w:highlight w:val="none"/>
          <w:lang w:eastAsia="zh-CN"/>
        </w:rPr>
        <w:t>2</w:t>
      </w:r>
      <w:r>
        <w:rPr>
          <w:rFonts w:hint="default" w:ascii="Times New Roman" w:hAnsi="Times New Roman" w:eastAsia="方正仿宋简体" w:cs="Times New Roman"/>
          <w:color w:val="000000"/>
          <w:highlight w:val="none"/>
          <w:lang w:val="en-US" w:eastAsia="zh-CN"/>
        </w:rPr>
        <w:t>0</w:t>
      </w:r>
      <w:r>
        <w:rPr>
          <w:rFonts w:hint="default" w:ascii="Times New Roman" w:hAnsi="Times New Roman" w:eastAsia="方正仿宋简体" w:cs="Times New Roman"/>
          <w:color w:val="000000"/>
          <w:highlight w:val="none"/>
        </w:rPr>
        <w:t>万元的购房补助</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或</w:t>
      </w:r>
      <w:r>
        <w:rPr>
          <w:rFonts w:hint="default" w:ascii="Times New Roman" w:hAnsi="Times New Roman" w:eastAsia="方正仿宋简体" w:cs="Times New Roman"/>
          <w:color w:val="000000"/>
          <w:highlight w:val="none"/>
          <w:lang w:eastAsia="zh-CN"/>
        </w:rPr>
        <w:t>按</w:t>
      </w:r>
      <w:r>
        <w:rPr>
          <w:rFonts w:hint="default" w:ascii="Times New Roman" w:hAnsi="Times New Roman" w:eastAsia="方正仿宋简体" w:cs="Times New Roman"/>
          <w:color w:val="000000"/>
          <w:highlight w:val="none"/>
        </w:rPr>
        <w:t>上限120平方米给予租金补贴</w:t>
      </w:r>
      <w:r>
        <w:rPr>
          <w:rFonts w:hint="default" w:ascii="Times New Roman" w:hAnsi="Times New Roman" w:eastAsia="方正仿宋简体" w:cs="Times New Roman"/>
          <w:color w:val="000000"/>
          <w:highlight w:val="none"/>
          <w:lang w:val="en" w:eastAsia="zh-CN"/>
        </w:rPr>
        <w:t>；</w:t>
      </w:r>
      <w:r>
        <w:rPr>
          <w:rFonts w:hint="default" w:ascii="Times New Roman" w:hAnsi="Times New Roman" w:eastAsia="方正仿宋简体" w:cs="Times New Roman"/>
          <w:color w:val="000000"/>
          <w:highlight w:val="none"/>
          <w:lang w:eastAsia="zh-CN"/>
        </w:rPr>
        <w:t>或申请享受</w:t>
      </w:r>
      <w:r>
        <w:rPr>
          <w:rFonts w:hint="default" w:ascii="Times New Roman" w:hAnsi="Times New Roman" w:eastAsia="方正仿宋简体" w:cs="Times New Roman"/>
          <w:color w:val="000000"/>
          <w:highlight w:val="none"/>
        </w:rPr>
        <w:t>50%的租金减免</w:t>
      </w:r>
      <w:r>
        <w:rPr>
          <w:rFonts w:hint="default" w:ascii="Times New Roman" w:hAnsi="Times New Roman" w:eastAsia="方正仿宋简体" w:cs="Times New Roman"/>
          <w:color w:val="000000"/>
          <w:highlight w:val="none"/>
          <w:lang w:eastAsia="zh-CN"/>
        </w:rPr>
        <w:t>政策</w:t>
      </w:r>
      <w:r>
        <w:rPr>
          <w:rFonts w:hint="default" w:ascii="Times New Roman" w:hAnsi="Times New Roman" w:eastAsia="方正仿宋简体" w:cs="Times New Roman"/>
          <w:color w:val="000000"/>
          <w:highlight w:val="none"/>
        </w:rPr>
        <w:t>入住人才公寓</w:t>
      </w:r>
      <w:r>
        <w:rPr>
          <w:rFonts w:hint="default" w:ascii="Times New Roman" w:hAnsi="Times New Roman" w:eastAsia="方正仿宋简体" w:cs="Times New Roman"/>
          <w:color w:val="000000"/>
          <w:highlight w:val="none"/>
          <w:lang w:eastAsia="zh-CN"/>
        </w:rPr>
        <w:t>。</w:t>
      </w:r>
    </w:p>
    <w:p w14:paraId="05F62D4E">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color w:val="000000"/>
          <w:highlight w:val="none"/>
        </w:rPr>
        <w:t>符合</w:t>
      </w:r>
      <w:r>
        <w:rPr>
          <w:rFonts w:hint="default" w:ascii="Times New Roman" w:hAnsi="Times New Roman" w:eastAsia="方正仿宋简体" w:cs="Times New Roman"/>
          <w:color w:val="000000"/>
          <w:highlight w:val="none"/>
          <w:lang w:eastAsia="zh-CN"/>
        </w:rPr>
        <w:t>我市引进类</w:t>
      </w:r>
      <w:r>
        <w:rPr>
          <w:rFonts w:hint="default" w:ascii="Times New Roman" w:hAnsi="Times New Roman" w:eastAsia="方正仿宋简体" w:cs="Times New Roman"/>
          <w:color w:val="000000"/>
          <w:highlight w:val="none"/>
        </w:rPr>
        <w:t>第</w:t>
      </w:r>
      <w:r>
        <w:rPr>
          <w:rFonts w:hint="default" w:ascii="Times New Roman" w:hAnsi="Times New Roman" w:eastAsia="方正仿宋简体" w:cs="Times New Roman"/>
          <w:color w:val="000000"/>
          <w:highlight w:val="none"/>
          <w:lang w:eastAsia="zh-CN"/>
        </w:rPr>
        <w:t>四层次人才条件</w:t>
      </w:r>
      <w:r>
        <w:rPr>
          <w:rFonts w:hint="default" w:ascii="Times New Roman" w:hAnsi="Times New Roman" w:eastAsia="方正仿宋简体" w:cs="Times New Roman"/>
          <w:color w:val="000000"/>
          <w:highlight w:val="none"/>
        </w:rPr>
        <w:t>的基础教育名师</w:t>
      </w:r>
      <w:r>
        <w:rPr>
          <w:rFonts w:hint="default" w:ascii="Times New Roman" w:hAnsi="Times New Roman" w:eastAsia="方正仿宋简体" w:cs="Times New Roman"/>
          <w:color w:val="000000"/>
          <w:highlight w:val="none"/>
          <w:lang w:eastAsia="zh-CN"/>
        </w:rPr>
        <w:t>除可</w:t>
      </w:r>
      <w:r>
        <w:rPr>
          <w:rFonts w:hint="default" w:ascii="Times New Roman" w:hAnsi="Times New Roman" w:eastAsia="方正仿宋简体" w:cs="Times New Roman"/>
          <w:color w:val="000000"/>
          <w:highlight w:val="none"/>
        </w:rPr>
        <w:t>享受购房补助</w:t>
      </w:r>
      <w:r>
        <w:rPr>
          <w:rFonts w:hint="default" w:ascii="Times New Roman" w:hAnsi="Times New Roman" w:eastAsia="方正仿宋简体" w:cs="Times New Roman"/>
          <w:color w:val="000000"/>
          <w:highlight w:val="none"/>
          <w:lang w:eastAsia="zh-CN"/>
        </w:rPr>
        <w:t>1</w:t>
      </w:r>
      <w:r>
        <w:rPr>
          <w:rFonts w:hint="default" w:ascii="Times New Roman" w:hAnsi="Times New Roman" w:eastAsia="方正仿宋简体" w:cs="Times New Roman"/>
          <w:color w:val="000000"/>
          <w:highlight w:val="none"/>
        </w:rPr>
        <w:t>0万元</w:t>
      </w:r>
      <w:r>
        <w:rPr>
          <w:rFonts w:hint="default" w:ascii="Times New Roman" w:hAnsi="Times New Roman" w:eastAsia="方正仿宋简体" w:cs="Times New Roman"/>
          <w:color w:val="000000"/>
          <w:highlight w:val="none"/>
          <w:lang w:eastAsia="zh-CN"/>
        </w:rPr>
        <w:t>外，可从</w:t>
      </w:r>
      <w:r>
        <w:rPr>
          <w:rFonts w:hint="default" w:ascii="Times New Roman" w:hAnsi="Times New Roman" w:eastAsia="方正仿宋简体" w:cs="Times New Roman"/>
          <w:color w:val="000000"/>
          <w:highlight w:val="none"/>
        </w:rPr>
        <w:t>教育专项经费渠道另行追加</w:t>
      </w:r>
      <w:r>
        <w:rPr>
          <w:rFonts w:hint="default" w:ascii="Times New Roman" w:hAnsi="Times New Roman" w:eastAsia="方正仿宋简体" w:cs="Times New Roman"/>
          <w:color w:val="000000"/>
          <w:highlight w:val="none"/>
          <w:lang w:val="en-US" w:eastAsia="zh-CN"/>
        </w:rPr>
        <w:t>10</w:t>
      </w:r>
      <w:r>
        <w:rPr>
          <w:rFonts w:hint="default" w:ascii="Times New Roman" w:hAnsi="Times New Roman" w:eastAsia="方正仿宋简体" w:cs="Times New Roman"/>
          <w:color w:val="000000"/>
          <w:highlight w:val="none"/>
        </w:rPr>
        <w:t>万元的购房补助</w:t>
      </w:r>
      <w:r>
        <w:rPr>
          <w:rFonts w:hint="default" w:ascii="Times New Roman" w:hAnsi="Times New Roman" w:eastAsia="方正仿宋简体" w:cs="Times New Roman"/>
          <w:color w:val="000000"/>
          <w:highlight w:val="none"/>
          <w:lang w:val="en" w:eastAsia="zh-CN"/>
        </w:rPr>
        <w:t>；</w:t>
      </w:r>
      <w:r>
        <w:rPr>
          <w:rFonts w:hint="default" w:ascii="Times New Roman" w:hAnsi="Times New Roman" w:eastAsia="方正仿宋简体" w:cs="Times New Roman"/>
          <w:color w:val="000000"/>
          <w:highlight w:val="none"/>
        </w:rPr>
        <w:t>或按上限1</w:t>
      </w:r>
      <w:r>
        <w:rPr>
          <w:rFonts w:hint="default" w:ascii="Times New Roman" w:hAnsi="Times New Roman" w:eastAsia="方正仿宋简体" w:cs="Times New Roman"/>
          <w:color w:val="000000"/>
          <w:highlight w:val="none"/>
          <w:lang w:eastAsia="zh-CN"/>
        </w:rPr>
        <w:t>0</w:t>
      </w:r>
      <w:r>
        <w:rPr>
          <w:rFonts w:hint="default" w:ascii="Times New Roman" w:hAnsi="Times New Roman" w:eastAsia="方正仿宋简体" w:cs="Times New Roman"/>
          <w:color w:val="000000"/>
          <w:highlight w:val="none"/>
        </w:rPr>
        <w:t>0平方米给予租金补贴</w:t>
      </w:r>
      <w:r>
        <w:rPr>
          <w:rFonts w:hint="default" w:ascii="Times New Roman" w:hAnsi="Times New Roman" w:eastAsia="方正仿宋简体" w:cs="Times New Roman"/>
          <w:color w:val="000000"/>
          <w:highlight w:val="none"/>
          <w:lang w:eastAsia="zh-CN"/>
        </w:rPr>
        <w:t>。</w:t>
      </w:r>
    </w:p>
    <w:p w14:paraId="38423916">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符合</w:t>
      </w:r>
      <w:r>
        <w:rPr>
          <w:rFonts w:hint="default" w:ascii="Times New Roman" w:hAnsi="Times New Roman" w:eastAsia="方正仿宋简体" w:cs="Times New Roman"/>
          <w:color w:val="000000"/>
          <w:highlight w:val="none"/>
          <w:lang w:eastAsia="zh-CN"/>
        </w:rPr>
        <w:t>我市引进类</w:t>
      </w:r>
      <w:r>
        <w:rPr>
          <w:rFonts w:hint="default" w:ascii="Times New Roman" w:hAnsi="Times New Roman" w:eastAsia="方正仿宋简体" w:cs="Times New Roman"/>
          <w:color w:val="000000"/>
          <w:highlight w:val="none"/>
        </w:rPr>
        <w:t>第</w:t>
      </w:r>
      <w:r>
        <w:rPr>
          <w:rFonts w:hint="default" w:ascii="Times New Roman" w:hAnsi="Times New Roman" w:eastAsia="方正仿宋简体" w:cs="Times New Roman"/>
          <w:color w:val="000000"/>
          <w:highlight w:val="none"/>
          <w:lang w:eastAsia="zh-CN"/>
        </w:rPr>
        <w:t>五层次人才条件</w:t>
      </w:r>
      <w:r>
        <w:rPr>
          <w:rFonts w:hint="default" w:ascii="Times New Roman" w:hAnsi="Times New Roman" w:eastAsia="方正仿宋简体" w:cs="Times New Roman"/>
          <w:color w:val="000000"/>
          <w:highlight w:val="none"/>
        </w:rPr>
        <w:t>的基础教育名师</w:t>
      </w:r>
      <w:r>
        <w:rPr>
          <w:rFonts w:hint="default" w:ascii="Times New Roman" w:hAnsi="Times New Roman" w:eastAsia="方正仿宋简体" w:cs="Times New Roman"/>
          <w:color w:val="000000"/>
          <w:highlight w:val="none"/>
          <w:lang w:eastAsia="zh-CN"/>
        </w:rPr>
        <w:t>除可</w:t>
      </w:r>
      <w:r>
        <w:rPr>
          <w:rFonts w:hint="default" w:ascii="Times New Roman" w:hAnsi="Times New Roman" w:eastAsia="方正仿宋简体" w:cs="Times New Roman"/>
          <w:color w:val="000000"/>
          <w:highlight w:val="none"/>
        </w:rPr>
        <w:t>享受购房补助5万元</w:t>
      </w:r>
      <w:r>
        <w:rPr>
          <w:rFonts w:hint="default" w:ascii="Times New Roman" w:hAnsi="Times New Roman" w:eastAsia="方正仿宋简体" w:cs="Times New Roman"/>
          <w:color w:val="000000"/>
          <w:highlight w:val="none"/>
          <w:lang w:eastAsia="zh-CN"/>
        </w:rPr>
        <w:t>外，可从</w:t>
      </w:r>
      <w:r>
        <w:rPr>
          <w:rFonts w:hint="default" w:ascii="Times New Roman" w:hAnsi="Times New Roman" w:eastAsia="方正仿宋简体" w:cs="Times New Roman"/>
          <w:color w:val="000000"/>
          <w:highlight w:val="none"/>
        </w:rPr>
        <w:t>教育专项经费渠道另行追加</w:t>
      </w:r>
      <w:r>
        <w:rPr>
          <w:rFonts w:hint="default" w:ascii="Times New Roman" w:hAnsi="Times New Roman" w:eastAsia="方正仿宋简体" w:cs="Times New Roman"/>
          <w:color w:val="000000"/>
          <w:highlight w:val="none"/>
          <w:lang w:val="en-US" w:eastAsia="zh-CN"/>
        </w:rPr>
        <w:t>15</w:t>
      </w:r>
      <w:r>
        <w:rPr>
          <w:rFonts w:hint="default" w:ascii="Times New Roman" w:hAnsi="Times New Roman" w:eastAsia="方正仿宋简体" w:cs="Times New Roman"/>
          <w:color w:val="000000"/>
          <w:highlight w:val="none"/>
        </w:rPr>
        <w:t>万元的购房补助</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或按上限90平方米给予租金补贴</w:t>
      </w:r>
      <w:r>
        <w:rPr>
          <w:rFonts w:hint="default" w:ascii="Times New Roman" w:hAnsi="Times New Roman" w:eastAsia="方正仿宋简体" w:cs="Times New Roman"/>
          <w:color w:val="000000"/>
          <w:highlight w:val="none"/>
          <w:lang w:eastAsia="zh-CN"/>
        </w:rPr>
        <w:t>。</w:t>
      </w:r>
    </w:p>
    <w:p w14:paraId="0DDD5855">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b w:val="0"/>
          <w:bCs w:val="0"/>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责任单位：市教育局、住建局、人社局、</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5C4D10D8">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6.享受高质量子女教育和配偶随迁服务。</w:t>
      </w:r>
      <w:r>
        <w:rPr>
          <w:rFonts w:hint="default" w:ascii="Times New Roman" w:hAnsi="Times New Roman" w:eastAsia="方正仿宋简体" w:cs="Times New Roman"/>
          <w:color w:val="000000"/>
          <w:highlight w:val="none"/>
        </w:rPr>
        <w:t>通过泉州市高层次人才认定的第一、二层次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名师子女可按个人意愿在全市范围内选择优质公办义务教育学校和公办幼儿园就读</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第三层次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名师子女可按个人意愿在全市范围内选择优质公办义务教育学校就读，可安排到工作单位或居住地（在居住地持有房产证）所在县（市、区）优质公办幼儿园就读</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第四层次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名师子女可安排到工作单位或居住地（在居住地持有房产证）所在县（市、区）优质公办义务教育学校和公办幼儿园就读</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第五层次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名师子女可安排到工作单位所在县（市、区）条件较好的公办义务教育学校和公办幼儿园就读。</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配偶需要在泉就业的，原属在编事业单位工作人员的，可按调动相关政策规定顺向流动到工作地专业对口、有空编的事业单位（参公事业单位除外）。暂时无法安排的，用人单位可参照本单位人员平均工资水平，以适当方式为其发放生活补贴。</w:t>
      </w:r>
    </w:p>
    <w:p w14:paraId="4F3CBFF2">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color w:val="000000"/>
          <w:kern w:val="2"/>
          <w:sz w:val="32"/>
          <w:szCs w:val="32"/>
          <w:highlight w:val="none"/>
          <w:lang w:val="en-US" w:eastAsia="zh-CN" w:bidi="ar-SA"/>
        </w:rPr>
        <w:t>责任单位：市教育局、人社局，市委组织部、编办，</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78BDDDA1">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7.落实人才医疗保健</w:t>
      </w:r>
      <w:r>
        <w:rPr>
          <w:rFonts w:hint="default" w:ascii="Times New Roman" w:hAnsi="Times New Roman" w:eastAsia="方正仿宋简体" w:cs="Times New Roman"/>
          <w:b/>
          <w:bCs/>
          <w:color w:val="000000"/>
          <w:highlight w:val="none"/>
          <w:lang w:eastAsia="zh-CN"/>
        </w:rPr>
        <w:t>待遇。</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名师每年可享受免费健康体检1次。通过泉州市第一至三层次人才认定的</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名师，第一层次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名师落实泉州市一级医疗保健待遇及</w:t>
      </w:r>
      <w:r>
        <w:rPr>
          <w:rFonts w:hint="default" w:ascii="Times New Roman" w:hAnsi="Times New Roman" w:eastAsia="方正仿宋简体" w:cs="Times New Roman"/>
          <w:color w:val="000000"/>
          <w:highlight w:val="none"/>
          <w:lang w:eastAsia="zh-CN"/>
        </w:rPr>
        <w:t>医疗费用报销政策</w:t>
      </w:r>
      <w:r>
        <w:rPr>
          <w:rFonts w:hint="default" w:ascii="Times New Roman" w:hAnsi="Times New Roman" w:eastAsia="方正仿宋简体" w:cs="Times New Roman"/>
          <w:color w:val="000000"/>
          <w:highlight w:val="none"/>
        </w:rPr>
        <w:t>；第二、三层次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名师落实泉州市二级医疗保健待遇及医疗费用报销政策。第一至第三层次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名师到我市市级保健基地医院和定点医院开设的保健（专科）门诊就诊，享受“一站式”快捷优质医疗保健服务；到我市二级及以上公立医院住院治疗，享受特需病房服务和优质医疗团队服务。</w:t>
      </w:r>
    </w:p>
    <w:p w14:paraId="307D08A1">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责任单位：市教育局、卫健委、医保局、财政局，各县（市、区）人民政府，泉州开发区、泉州台商投资区管委会</w:t>
      </w:r>
    </w:p>
    <w:p w14:paraId="08055BDB">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8.优享城市配套服务。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名师可免费乘坐市内公交车、免费办理公共自行车租赁、免费进入我市国有</w:t>
      </w:r>
      <w:r>
        <w:rPr>
          <w:rFonts w:hint="default" w:ascii="Times New Roman" w:hAnsi="Times New Roman" w:eastAsia="方正仿宋简体" w:cs="Times New Roman"/>
          <w:color w:val="000000"/>
          <w:highlight w:val="none"/>
          <w:lang w:val="en"/>
        </w:rPr>
        <w:t>A级旅游景区</w:t>
      </w:r>
      <w:r>
        <w:rPr>
          <w:rFonts w:hint="default" w:ascii="Times New Roman" w:hAnsi="Times New Roman" w:eastAsia="方正仿宋简体" w:cs="Times New Roman"/>
          <w:color w:val="000000"/>
          <w:highlight w:val="none"/>
        </w:rPr>
        <w:t>、免费预约4人（含本人）观看市直五大艺术院团公益性文艺演出。</w:t>
      </w:r>
    </w:p>
    <w:p w14:paraId="69B230A0">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责任单位：市国资委、文旅局，清源山管委会，泉州文旅集团、泉州交通发展集团，各县（市、区）人民政府，泉州开发区、泉州台商投资区管委会</w:t>
      </w:r>
    </w:p>
    <w:p w14:paraId="0E83DB73">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9.同步享受其他人才待遇。</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名师通过</w:t>
      </w:r>
      <w:r>
        <w:rPr>
          <w:rFonts w:hint="default" w:ascii="Times New Roman" w:hAnsi="Times New Roman" w:eastAsia="方正仿宋简体" w:cs="Times New Roman"/>
          <w:color w:val="000000"/>
          <w:highlight w:val="none"/>
          <w:lang w:eastAsia="zh-CN"/>
        </w:rPr>
        <w:t>泉州市</w:t>
      </w:r>
      <w:r>
        <w:rPr>
          <w:rFonts w:hint="default" w:ascii="Times New Roman" w:hAnsi="Times New Roman" w:eastAsia="方正仿宋简体" w:cs="Times New Roman"/>
          <w:color w:val="000000"/>
          <w:highlight w:val="none"/>
        </w:rPr>
        <w:t>高层次人才认定的，可享受相应的户籍迁入、金融支持、休假疗养、法律服务等高层次人才待遇。</w:t>
      </w:r>
    </w:p>
    <w:p w14:paraId="0F0C63D0">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sz w:val="32"/>
          <w:szCs w:val="32"/>
          <w:highlight w:val="none"/>
          <w:lang w:eastAsia="zh-CN"/>
        </w:rPr>
      </w:pPr>
      <w:r>
        <w:rPr>
          <w:rFonts w:hint="default" w:ascii="Times New Roman" w:hAnsi="Times New Roman" w:eastAsia="方正仿宋简体" w:cs="Times New Roman"/>
          <w:color w:val="000000"/>
          <w:kern w:val="2"/>
          <w:sz w:val="32"/>
          <w:szCs w:val="32"/>
          <w:highlight w:val="none"/>
          <w:lang w:val="en-US" w:eastAsia="zh-CN" w:bidi="ar-SA"/>
        </w:rPr>
        <w:t>责任单位：市教育局、公安局、金融监管局、司法局，市委组织部，各县（市、区）人民政府，泉州开发区、泉州台商投资区管委会</w:t>
      </w:r>
    </w:p>
    <w:p w14:paraId="5565DDBD">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黑体简体" w:hAnsi="方正黑体简体" w:eastAsia="方正黑体简体" w:cs="方正黑体简体"/>
          <w:color w:val="000000"/>
          <w:highlight w:val="none"/>
        </w:rPr>
      </w:pPr>
      <w:r>
        <w:rPr>
          <w:rFonts w:hint="eastAsia" w:ascii="方正黑体简体" w:hAnsi="方正黑体简体" w:eastAsia="方正黑体简体" w:cs="方正黑体简体"/>
          <w:color w:val="000000"/>
          <w:highlight w:val="none"/>
        </w:rPr>
        <w:t>三、引聘程序及层次认定</w:t>
      </w:r>
    </w:p>
    <w:p w14:paraId="559632EB">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方正楷体简体" w:hAnsi="方正楷体简体" w:eastAsia="方正楷体简体" w:cs="方正楷体简体"/>
          <w:b w:val="0"/>
          <w:bCs w:val="0"/>
          <w:color w:val="000000"/>
          <w:highlight w:val="none"/>
        </w:rPr>
      </w:pPr>
      <w:r>
        <w:rPr>
          <w:rFonts w:hint="default" w:ascii="方正楷体简体" w:hAnsi="方正楷体简体" w:eastAsia="方正楷体简体" w:cs="方正楷体简体"/>
          <w:b w:val="0"/>
          <w:bCs w:val="0"/>
          <w:color w:val="000000"/>
          <w:highlight w:val="none"/>
        </w:rPr>
        <w:t>（一）人才引聘方式及程序</w:t>
      </w:r>
    </w:p>
    <w:p w14:paraId="2EC67CEC">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博士研究生、</w:t>
      </w:r>
      <w:r>
        <w:rPr>
          <w:rFonts w:hint="default" w:ascii="Times New Roman" w:hAnsi="Times New Roman" w:eastAsia="方正仿宋简体" w:cs="Times New Roman"/>
          <w:color w:val="000000"/>
          <w:highlight w:val="none"/>
          <w:u w:val="none"/>
          <w:lang w:eastAsia="zh-CN"/>
        </w:rPr>
        <w:t>符合紧缺急需人才引进指导目录要求的</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u w:val="none"/>
          <w:lang w:eastAsia="zh-CN"/>
        </w:rPr>
        <w:t>名师可</w:t>
      </w:r>
      <w:r>
        <w:rPr>
          <w:rFonts w:hint="default" w:ascii="Times New Roman" w:hAnsi="Times New Roman" w:eastAsia="方正仿宋简体" w:cs="Times New Roman"/>
          <w:color w:val="000000"/>
          <w:highlight w:val="none"/>
          <w:u w:val="none"/>
        </w:rPr>
        <w:t>采取直接考核的方式引聘，引聘硕士研究生、部属院校本科毕业生</w:t>
      </w:r>
      <w:r>
        <w:rPr>
          <w:rFonts w:hint="default" w:ascii="Times New Roman" w:hAnsi="Times New Roman" w:eastAsia="方正仿宋简体" w:cs="Times New Roman"/>
          <w:color w:val="000000"/>
          <w:highlight w:val="none"/>
          <w:u w:val="none"/>
          <w:lang w:eastAsia="zh-CN"/>
        </w:rPr>
        <w:t>可</w:t>
      </w:r>
      <w:r>
        <w:rPr>
          <w:rFonts w:hint="default" w:ascii="Times New Roman" w:hAnsi="Times New Roman" w:eastAsia="方正仿宋简体" w:cs="Times New Roman"/>
          <w:color w:val="000000"/>
          <w:highlight w:val="none"/>
          <w:u w:val="none"/>
        </w:rPr>
        <w:t>按照专项招聘政策引聘</w:t>
      </w:r>
      <w:r>
        <w:rPr>
          <w:rFonts w:hint="default" w:ascii="Times New Roman" w:hAnsi="Times New Roman" w:eastAsia="方正仿宋简体" w:cs="Times New Roman"/>
          <w:color w:val="000000"/>
          <w:highlight w:val="none"/>
          <w:u w:val="none"/>
          <w:lang w:eastAsia="zh-CN"/>
        </w:rPr>
        <w:t>，</w:t>
      </w:r>
      <w:r>
        <w:rPr>
          <w:rFonts w:hint="default" w:ascii="Times New Roman" w:hAnsi="Times New Roman" w:eastAsia="方正仿宋简体" w:cs="Times New Roman"/>
          <w:color w:val="000000"/>
          <w:highlight w:val="none"/>
          <w:u w:val="none"/>
        </w:rPr>
        <w:t>其中相同经费渠道事业单位在编在岗人员可通过调动方式引聘。引聘程序如下：</w:t>
      </w:r>
    </w:p>
    <w:p w14:paraId="265D075A">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1.制定招聘计划；</w:t>
      </w:r>
    </w:p>
    <w:p w14:paraId="225DC228">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2.发布招聘信息；</w:t>
      </w:r>
    </w:p>
    <w:p w14:paraId="25DAA3C5">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3.受理应聘人员的申请，对资格条件进行审查；</w:t>
      </w:r>
    </w:p>
    <w:p w14:paraId="3C58209C">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4.考试、考核；</w:t>
      </w:r>
    </w:p>
    <w:p w14:paraId="293F12DD">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5.身体检查；</w:t>
      </w:r>
    </w:p>
    <w:p w14:paraId="2BF623F9">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6.根据考试、考核结果，确定拟聘人员；</w:t>
      </w:r>
    </w:p>
    <w:p w14:paraId="30DF56E6">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7.公示</w:t>
      </w:r>
      <w:r>
        <w:rPr>
          <w:rFonts w:hint="default" w:ascii="Times New Roman" w:hAnsi="Times New Roman" w:eastAsia="方正仿宋简体" w:cs="Times New Roman"/>
          <w:color w:val="000000"/>
          <w:highlight w:val="none"/>
          <w:u w:val="none"/>
          <w:lang w:eastAsia="zh-CN"/>
        </w:rPr>
        <w:t>拟聘人员名单</w:t>
      </w:r>
      <w:r>
        <w:rPr>
          <w:rFonts w:hint="default" w:ascii="Times New Roman" w:hAnsi="Times New Roman" w:eastAsia="方正仿宋简体" w:cs="Times New Roman"/>
          <w:color w:val="000000"/>
          <w:highlight w:val="none"/>
          <w:u w:val="none"/>
        </w:rPr>
        <w:t>；</w:t>
      </w:r>
    </w:p>
    <w:p w14:paraId="28F80C8F">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8.签订聘用合同，办理聘用手续。</w:t>
      </w:r>
    </w:p>
    <w:p w14:paraId="46D00050">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方正楷体简体" w:hAnsi="方正楷体简体" w:eastAsia="方正楷体简体" w:cs="方正楷体简体"/>
          <w:b w:val="0"/>
          <w:bCs w:val="0"/>
          <w:color w:val="000000"/>
          <w:highlight w:val="none"/>
        </w:rPr>
      </w:pPr>
      <w:r>
        <w:rPr>
          <w:rFonts w:hint="default" w:ascii="方正楷体简体" w:hAnsi="方正楷体简体" w:eastAsia="方正楷体简体" w:cs="方正楷体简体"/>
          <w:b w:val="0"/>
          <w:bCs w:val="0"/>
          <w:color w:val="000000"/>
          <w:highlight w:val="none"/>
        </w:rPr>
        <w:t>（二）人才层次认定</w:t>
      </w:r>
    </w:p>
    <w:p w14:paraId="6845E8FD">
      <w:pPr>
        <w:pStyle w:val="2"/>
        <w:keepNext w:val="0"/>
        <w:keepLines w:val="0"/>
        <w:pageBreakBefore w:val="0"/>
        <w:kinsoku/>
        <w:wordWrap/>
        <w:overflowPunct/>
        <w:topLinePunct w:val="0"/>
        <w:autoSpaceDE/>
        <w:autoSpaceDN/>
        <w:bidi w:val="0"/>
        <w:spacing w:line="570" w:lineRule="exact"/>
        <w:ind w:firstLine="640" w:firstLineChars="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本方案所指高校优质毕业生及基础教育名师为自</w:t>
      </w:r>
      <w:r>
        <w:rPr>
          <w:rFonts w:hint="default" w:ascii="Times New Roman" w:hAnsi="Times New Roman" w:eastAsia="方正仿宋简体" w:cs="Times New Roman"/>
          <w:color w:val="000000"/>
          <w:highlight w:val="none"/>
          <w:lang w:eastAsia="zh-CN"/>
        </w:rPr>
        <w:t>本方案印发</w:t>
      </w:r>
      <w:r>
        <w:rPr>
          <w:rFonts w:hint="default" w:ascii="Times New Roman" w:hAnsi="Times New Roman" w:eastAsia="方正仿宋简体" w:cs="Times New Roman"/>
          <w:color w:val="000000"/>
          <w:highlight w:val="none"/>
        </w:rPr>
        <w:t>之日起</w:t>
      </w:r>
      <w:r>
        <w:rPr>
          <w:rFonts w:hint="default" w:ascii="Times New Roman" w:hAnsi="Times New Roman" w:eastAsia="方正仿宋简体" w:cs="Times New Roman"/>
          <w:color w:val="000000"/>
          <w:highlight w:val="none"/>
          <w:lang w:eastAsia="zh-CN"/>
        </w:rPr>
        <w:t>引聘，且为</w:t>
      </w:r>
      <w:r>
        <w:rPr>
          <w:rFonts w:hint="default" w:ascii="Times New Roman" w:hAnsi="Times New Roman" w:eastAsia="方正仿宋简体" w:cs="Times New Roman"/>
          <w:color w:val="000000"/>
          <w:highlight w:val="none"/>
        </w:rPr>
        <w:t>近3年内首次从泉州市外以受聘等方式引进（含泉籍人才返泉就业），或未曾申报过泉州市高层次人才</w:t>
      </w:r>
      <w:r>
        <w:rPr>
          <w:rFonts w:hint="default" w:ascii="Times New Roman" w:hAnsi="Times New Roman" w:eastAsia="方正仿宋简体" w:cs="Times New Roman"/>
          <w:color w:val="000000"/>
          <w:highlight w:val="none"/>
          <w:lang w:val="en-US" w:eastAsia="zh-CN"/>
        </w:rPr>
        <w:t>认定、享受基础教育人才引进优惠政策</w:t>
      </w:r>
      <w:r>
        <w:rPr>
          <w:rFonts w:hint="default" w:ascii="Times New Roman" w:hAnsi="Times New Roman" w:eastAsia="方正仿宋简体" w:cs="Times New Roman"/>
          <w:color w:val="000000"/>
          <w:highlight w:val="none"/>
        </w:rPr>
        <w:t>且流出泉州市满3年后又返泉就业不超过1年</w:t>
      </w:r>
      <w:r>
        <w:rPr>
          <w:rFonts w:hint="default" w:ascii="Times New Roman" w:hAnsi="Times New Roman" w:eastAsia="方正仿宋简体" w:cs="Times New Roman"/>
          <w:color w:val="000000"/>
          <w:highlight w:val="none"/>
          <w:lang w:val="en-US" w:eastAsia="zh-CN"/>
        </w:rPr>
        <w:t>的人员</w:t>
      </w:r>
      <w:r>
        <w:rPr>
          <w:rFonts w:hint="default" w:ascii="Times New Roman" w:hAnsi="Times New Roman" w:eastAsia="方正仿宋简体" w:cs="Times New Roman"/>
          <w:color w:val="000000"/>
          <w:highlight w:val="none"/>
        </w:rPr>
        <w:t>。</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名师所属层次由用人单位所属教育行政部门根据本方案引聘条件和引聘人才提供的佐证</w:t>
      </w:r>
      <w:r>
        <w:rPr>
          <w:rFonts w:hint="default" w:ascii="Times New Roman" w:hAnsi="Times New Roman" w:eastAsia="方正仿宋简体" w:cs="Times New Roman"/>
          <w:color w:val="000000"/>
          <w:highlight w:val="none"/>
          <w:lang w:eastAsia="zh-CN"/>
        </w:rPr>
        <w:t>材料</w:t>
      </w:r>
      <w:r>
        <w:rPr>
          <w:rFonts w:hint="default" w:ascii="Times New Roman" w:hAnsi="Times New Roman" w:eastAsia="方正仿宋简体" w:cs="Times New Roman"/>
          <w:color w:val="000000"/>
          <w:highlight w:val="none"/>
        </w:rPr>
        <w:t>进行认定，并在公示无异议后</w:t>
      </w:r>
      <w:r>
        <w:rPr>
          <w:rFonts w:hint="default" w:ascii="Times New Roman" w:hAnsi="Times New Roman" w:eastAsia="方正仿宋简体" w:cs="Times New Roman"/>
          <w:color w:val="000000"/>
          <w:highlight w:val="none"/>
          <w:lang w:eastAsia="zh-CN"/>
        </w:rPr>
        <w:t>按规定</w:t>
      </w:r>
      <w:r>
        <w:rPr>
          <w:rFonts w:hint="default" w:ascii="Times New Roman" w:hAnsi="Times New Roman" w:eastAsia="方正仿宋简体" w:cs="Times New Roman"/>
          <w:color w:val="000000"/>
          <w:highlight w:val="none"/>
        </w:rPr>
        <w:t>予以认定。</w:t>
      </w:r>
    </w:p>
    <w:p w14:paraId="0911DD5D">
      <w:pPr>
        <w:pStyle w:val="2"/>
        <w:keepNext w:val="0"/>
        <w:keepLines w:val="0"/>
        <w:pageBreakBefore w:val="0"/>
        <w:kinsoku/>
        <w:wordWrap/>
        <w:overflowPunct/>
        <w:topLinePunct w:val="0"/>
        <w:autoSpaceDE/>
        <w:autoSpaceDN/>
        <w:bidi w:val="0"/>
        <w:spacing w:line="570" w:lineRule="exact"/>
        <w:ind w:firstLine="640" w:firstLineChars="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高校优质毕业生及基础教育名师</w:t>
      </w:r>
      <w:r>
        <w:rPr>
          <w:rFonts w:hint="default" w:ascii="Times New Roman" w:hAnsi="Times New Roman" w:eastAsia="方正仿宋简体" w:cs="Times New Roman"/>
          <w:color w:val="000000"/>
          <w:highlight w:val="none"/>
          <w:lang w:eastAsia="zh-CN"/>
        </w:rPr>
        <w:t>引聘后</w:t>
      </w:r>
      <w:r>
        <w:rPr>
          <w:rFonts w:hint="default" w:ascii="Times New Roman" w:hAnsi="Times New Roman" w:eastAsia="方正仿宋简体" w:cs="Times New Roman"/>
          <w:color w:val="000000"/>
          <w:highlight w:val="none"/>
        </w:rPr>
        <w:t>实行认期制管理</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认期为6年。认期自认定单位发文确认之日起计算。认期内，满足更高层次人才认定条件的，可随时申请晋级，晋级后认期重新计算。认期满后，仍符合认定条件的基础教育名师，可再次申请认定。对在行业领域内造诣精湛、有广泛影响力和代表性的，再次申请认定时可不受所担任职务、取得荣誉奖项等认定条件的年限限制。</w:t>
      </w:r>
    </w:p>
    <w:p w14:paraId="3279B6CD">
      <w:pPr>
        <w:pStyle w:val="2"/>
        <w:keepNext w:val="0"/>
        <w:keepLines w:val="0"/>
        <w:pageBreakBefore w:val="0"/>
        <w:kinsoku/>
        <w:wordWrap/>
        <w:overflowPunct/>
        <w:topLinePunct w:val="0"/>
        <w:autoSpaceDE/>
        <w:autoSpaceDN/>
        <w:bidi w:val="0"/>
        <w:spacing w:line="570" w:lineRule="exact"/>
        <w:ind w:firstLine="640" w:firstLineChars="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已与我市用人单位达成就业意向的待引进基础教育名师，可先行按引进人才资格条件申报市高层次人才进行预认定，预认定资格1年内有效。获得预认定资格的待引进人才正式落地我市后，确认为市高层次人才，按引进人才进行管理，享受有关政策支持。认期自落地我市之日起计算。</w:t>
      </w:r>
    </w:p>
    <w:p w14:paraId="65B427AC">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黑体简体" w:hAnsi="方正黑体简体" w:eastAsia="方正黑体简体" w:cs="方正黑体简体"/>
          <w:color w:val="000000"/>
          <w:highlight w:val="none"/>
        </w:rPr>
      </w:pPr>
      <w:r>
        <w:rPr>
          <w:rFonts w:hint="eastAsia" w:ascii="方正黑体简体" w:hAnsi="方正黑体简体" w:eastAsia="方正黑体简体" w:cs="方正黑体简体"/>
          <w:color w:val="000000"/>
          <w:highlight w:val="none"/>
        </w:rPr>
        <w:t>四、考核管理</w:t>
      </w:r>
    </w:p>
    <w:p w14:paraId="48387CBA">
      <w:pPr>
        <w:keepNext w:val="0"/>
        <w:keepLines w:val="0"/>
        <w:pageBreakBefore w:val="0"/>
        <w:tabs>
          <w:tab w:val="left" w:pos="2632"/>
        </w:tabs>
        <w:kinsoku/>
        <w:wordWrap/>
        <w:overflowPunct/>
        <w:topLinePunct w:val="0"/>
        <w:autoSpaceDE/>
        <w:autoSpaceDN/>
        <w:bidi w:val="0"/>
        <w:adjustRightInd w:val="0"/>
        <w:snapToGrid w:val="0"/>
        <w:spacing w:line="570" w:lineRule="exact"/>
        <w:ind w:firstLine="579" w:firstLineChars="181"/>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val="0"/>
          <w:bCs w:val="0"/>
          <w:color w:val="000000"/>
          <w:highlight w:val="none"/>
        </w:rPr>
        <w:t>（一）</w:t>
      </w:r>
      <w:r>
        <w:rPr>
          <w:rFonts w:hint="default" w:ascii="Times New Roman" w:hAnsi="Times New Roman" w:eastAsia="方正仿宋简体" w:cs="Times New Roman"/>
          <w:color w:val="000000"/>
          <w:highlight w:val="none"/>
        </w:rPr>
        <w:t>引聘的博士研究生、硕士研究生、部属院校本科毕业生和基础教育名师在泉最低服务年限不少于10年。</w:t>
      </w:r>
    </w:p>
    <w:p w14:paraId="12F1572D">
      <w:pPr>
        <w:keepNext w:val="0"/>
        <w:keepLines w:val="0"/>
        <w:pageBreakBefore w:val="0"/>
        <w:tabs>
          <w:tab w:val="left" w:pos="2632"/>
        </w:tabs>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val="0"/>
          <w:bCs w:val="0"/>
          <w:color w:val="000000"/>
          <w:highlight w:val="none"/>
        </w:rPr>
        <w:t>（二）</w:t>
      </w:r>
      <w:r>
        <w:rPr>
          <w:rFonts w:hint="default" w:ascii="Times New Roman" w:hAnsi="Times New Roman" w:eastAsia="方正仿宋简体" w:cs="Times New Roman"/>
          <w:color w:val="000000"/>
          <w:highlight w:val="none"/>
        </w:rPr>
        <w:t>在最低服务年限内解除聘用合同的，按照实际服务月份数与最低服务月份数占比计发经济补助</w:t>
      </w:r>
      <w:r>
        <w:rPr>
          <w:rFonts w:hint="default" w:ascii="Times New Roman" w:hAnsi="Times New Roman" w:eastAsia="方正仿宋简体" w:cs="Times New Roman"/>
          <w:color w:val="000000"/>
          <w:highlight w:val="none"/>
          <w:lang w:eastAsia="zh-CN"/>
        </w:rPr>
        <w:t>及购房补助</w:t>
      </w:r>
      <w:r>
        <w:rPr>
          <w:rFonts w:hint="default" w:ascii="Times New Roman" w:hAnsi="Times New Roman" w:eastAsia="方正仿宋简体" w:cs="Times New Roman"/>
          <w:color w:val="000000"/>
          <w:highlight w:val="none"/>
        </w:rPr>
        <w:t>，追回计发数以外已领取的补助经费。</w:t>
      </w:r>
    </w:p>
    <w:p w14:paraId="79776CDC">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val="0"/>
          <w:bCs w:val="0"/>
          <w:color w:val="000000"/>
          <w:highlight w:val="none"/>
        </w:rPr>
        <w:t>（三）</w:t>
      </w:r>
      <w:r>
        <w:rPr>
          <w:rFonts w:hint="default" w:ascii="Times New Roman" w:hAnsi="Times New Roman" w:eastAsia="方正仿宋简体" w:cs="Times New Roman"/>
          <w:color w:val="000000"/>
          <w:highlight w:val="none"/>
        </w:rPr>
        <w:t>引聘的博士研究生、硕士研究生、部属院校本科毕业生和</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由用人单位按年度实施考核管理，实行师德问题“零容忍”，出现违反师德问题的视为考核不合格。因个人原因未履行相关义务或考核不合格的，由用人单位提出意见，经所属教育行政部门审核，取消其享受的相关待遇并追回已享受的相关补助。</w:t>
      </w:r>
    </w:p>
    <w:p w14:paraId="174E9D24">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黑体简体" w:hAnsi="方正黑体简体" w:eastAsia="方正黑体简体" w:cs="方正黑体简体"/>
          <w:color w:val="000000"/>
          <w:highlight w:val="none"/>
          <w:lang w:eastAsia="zh-CN"/>
        </w:rPr>
      </w:pPr>
      <w:r>
        <w:rPr>
          <w:rFonts w:hint="eastAsia" w:ascii="方正黑体简体" w:hAnsi="方正黑体简体" w:eastAsia="方正黑体简体" w:cs="方正黑体简体"/>
          <w:color w:val="000000"/>
          <w:highlight w:val="none"/>
        </w:rPr>
        <w:t>五、经费</w:t>
      </w:r>
      <w:r>
        <w:rPr>
          <w:rFonts w:hint="eastAsia" w:ascii="方正黑体简体" w:hAnsi="方正黑体简体" w:eastAsia="方正黑体简体" w:cs="方正黑体简体"/>
          <w:color w:val="000000"/>
          <w:highlight w:val="none"/>
          <w:lang w:eastAsia="zh-CN"/>
        </w:rPr>
        <w:t>的使用与保障</w:t>
      </w:r>
    </w:p>
    <w:p w14:paraId="10BB8FF7">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楷体简体" w:hAnsi="方正楷体简体" w:eastAsia="方正楷体简体" w:cs="方正楷体简体"/>
          <w:b w:val="0"/>
          <w:bCs w:val="0"/>
          <w:color w:val="000000"/>
          <w:highlight w:val="none"/>
        </w:rPr>
      </w:pPr>
      <w:r>
        <w:rPr>
          <w:rFonts w:hint="eastAsia" w:ascii="方正楷体简体" w:hAnsi="方正楷体简体" w:eastAsia="方正楷体简体" w:cs="方正楷体简体"/>
          <w:b w:val="0"/>
          <w:bCs w:val="0"/>
          <w:color w:val="000000"/>
          <w:highlight w:val="none"/>
        </w:rPr>
        <w:t>（一）经费的发放及使用</w:t>
      </w:r>
    </w:p>
    <w:p w14:paraId="6E4B8F22">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安家补助、工作经费</w:t>
      </w:r>
      <w:r>
        <w:rPr>
          <w:rFonts w:hint="default" w:ascii="Times New Roman" w:hAnsi="Times New Roman" w:eastAsia="方正仿宋简体" w:cs="Times New Roman"/>
          <w:color w:val="000000"/>
          <w:highlight w:val="none"/>
          <w:lang w:eastAsia="zh-CN"/>
        </w:rPr>
        <w:t>（含教育专项经费渠道另行追加部分）</w:t>
      </w:r>
      <w:r>
        <w:rPr>
          <w:rFonts w:hint="default" w:ascii="Times New Roman" w:hAnsi="Times New Roman" w:eastAsia="方正仿宋简体" w:cs="Times New Roman"/>
          <w:color w:val="000000"/>
          <w:highlight w:val="none"/>
        </w:rPr>
        <w:t>实行“就高从优不重复”原则，分5年拨付，第一年拨付40%，其余4年各拨付15%。引聘人才在泉工作满1年后按年度逐年拨付，于当年每季度末统一发放至用人单位，由用人单位发放至</w:t>
      </w:r>
      <w:r>
        <w:rPr>
          <w:rFonts w:hint="default" w:ascii="Times New Roman" w:hAnsi="Times New Roman" w:eastAsia="方正仿宋简体" w:cs="Times New Roman"/>
          <w:color w:val="000000"/>
          <w:highlight w:val="none"/>
          <w:lang w:eastAsia="zh-CN"/>
        </w:rPr>
        <w:t>引聘</w:t>
      </w:r>
      <w:r>
        <w:rPr>
          <w:rFonts w:hint="default" w:ascii="Times New Roman" w:hAnsi="Times New Roman" w:eastAsia="方正仿宋简体" w:cs="Times New Roman"/>
          <w:color w:val="000000"/>
          <w:highlight w:val="none"/>
        </w:rPr>
        <w:t>人才，其中满3年时对人才及所在单位进行中期评估，评估合格的发放后续补助资金。工作经费应用于改善人才工作条件、教育教学课题研究、辐射培养青年教师成长、组建教师发展共同体及共同体团队建设等，由用人单位专账管理、专款专用。鼓励县（市、区）根据实际，为本土培育的对应层次基础教育名师开展教育教学课题研究、辐射培养青年教师成长、组建教师发展共同体及共同体团队建设等适当配套工作经费。</w:t>
      </w:r>
    </w:p>
    <w:p w14:paraId="5AD241F7">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购房补助（含教育专项经费渠道另行追加部分）主要用于引聘人才家庭成员（包括本人、配偶及未成年子女）在泉州行政区域内无住房、未享受相关安居保障优惠政策的引聘人才自行购买市场住房，分2次发放，补助申请审核通过后的第一年、第四年分别发放50%，于发放当年的4月、10月核查发放对象的在岗及征信情况后统一发放至用人单位，由用人单位发放给引聘人才。如购房总价低于上述购房补助标准的，购房补助金额按照房屋总价执行。租房补贴主要用于上述引聘人才自行租住市场住房，补贴金额按面积标准乘以当地公共租赁住房租金的2倍计算，于每年10月核查发放对象的在岗及征信情况后统一发放至用人单位，由用人单位发放给引聘人才。</w:t>
      </w:r>
    </w:p>
    <w:p w14:paraId="4EC9F01A">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方正楷体简体" w:hAnsi="方正楷体简体" w:eastAsia="方正楷体简体" w:cs="方正楷体简体"/>
          <w:b w:val="0"/>
          <w:bCs w:val="0"/>
          <w:color w:val="000000"/>
          <w:highlight w:val="none"/>
        </w:rPr>
      </w:pPr>
      <w:r>
        <w:rPr>
          <w:rFonts w:hint="default" w:ascii="方正楷体简体" w:hAnsi="方正楷体简体" w:eastAsia="方正楷体简体" w:cs="方正楷体简体"/>
          <w:b w:val="0"/>
          <w:bCs w:val="0"/>
          <w:color w:val="000000"/>
          <w:highlight w:val="none"/>
        </w:rPr>
        <w:t>（二）经费保障</w:t>
      </w:r>
    </w:p>
    <w:p w14:paraId="3DCECC88">
      <w:pPr>
        <w:keepNext w:val="0"/>
        <w:keepLines w:val="0"/>
        <w:pageBreakBefore w:val="0"/>
        <w:tabs>
          <w:tab w:val="left" w:pos="2632"/>
        </w:tabs>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泉政办〔2021〕29号</w:t>
      </w:r>
      <w:r>
        <w:rPr>
          <w:rFonts w:hint="default" w:ascii="Times New Roman" w:hAnsi="Times New Roman" w:eastAsia="方正仿宋简体" w:cs="Times New Roman"/>
          <w:color w:val="000000"/>
          <w:highlight w:val="none"/>
          <w:lang w:eastAsia="zh-CN"/>
        </w:rPr>
        <w:t>文件</w:t>
      </w:r>
      <w:r>
        <w:rPr>
          <w:rFonts w:hint="default" w:ascii="Times New Roman" w:hAnsi="Times New Roman" w:eastAsia="方正仿宋简体" w:cs="Times New Roman"/>
          <w:color w:val="000000"/>
          <w:highlight w:val="none"/>
        </w:rPr>
        <w:t>和“涌泉”行动、高水平高校毕业生引进政策内的所需经费根据市级人才政策要求执行；上述政策以外的所需</w:t>
      </w:r>
      <w:r>
        <w:rPr>
          <w:rFonts w:hint="default" w:ascii="Times New Roman" w:hAnsi="Times New Roman" w:eastAsia="方正仿宋简体" w:cs="Times New Roman"/>
          <w:color w:val="000000"/>
          <w:highlight w:val="none"/>
          <w:lang w:val="en-US" w:eastAsia="zh-CN"/>
        </w:rPr>
        <w:t>教育专项</w:t>
      </w:r>
      <w:r>
        <w:rPr>
          <w:rFonts w:hint="default" w:ascii="Times New Roman" w:hAnsi="Times New Roman" w:eastAsia="方正仿宋简体" w:cs="Times New Roman"/>
          <w:color w:val="000000"/>
          <w:highlight w:val="none"/>
        </w:rPr>
        <w:t>经费按照用人单位隶属关系由同级财政</w:t>
      </w:r>
      <w:r>
        <w:rPr>
          <w:rFonts w:hint="default" w:ascii="Times New Roman" w:hAnsi="Times New Roman" w:eastAsia="方正仿宋简体" w:cs="Times New Roman"/>
          <w:color w:val="000000"/>
          <w:highlight w:val="none"/>
          <w:lang w:eastAsia="zh-CN"/>
        </w:rPr>
        <w:t>统筹教育部门专项解决</w:t>
      </w:r>
      <w:r>
        <w:rPr>
          <w:rFonts w:hint="default" w:ascii="Times New Roman" w:hAnsi="Times New Roman" w:eastAsia="方正仿宋简体" w:cs="Times New Roman"/>
          <w:color w:val="000000"/>
          <w:highlight w:val="none"/>
        </w:rPr>
        <w:t>。</w:t>
      </w:r>
    </w:p>
    <w:p w14:paraId="536817D1">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黑体简体" w:hAnsi="方正黑体简体" w:eastAsia="方正黑体简体" w:cs="方正黑体简体"/>
          <w:color w:val="000000"/>
          <w:highlight w:val="none"/>
        </w:rPr>
      </w:pPr>
      <w:r>
        <w:rPr>
          <w:rFonts w:hint="eastAsia" w:ascii="方正黑体简体" w:hAnsi="方正黑体简体" w:eastAsia="方正黑体简体" w:cs="方正黑体简体"/>
          <w:color w:val="000000"/>
          <w:highlight w:val="none"/>
        </w:rPr>
        <w:t>六、其他事项</w:t>
      </w:r>
    </w:p>
    <w:p w14:paraId="649C7A30">
      <w:pPr>
        <w:keepNext w:val="0"/>
        <w:keepLines w:val="0"/>
        <w:pageBreakBefore w:val="0"/>
        <w:tabs>
          <w:tab w:val="left" w:pos="2632"/>
        </w:tabs>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val="0"/>
          <w:bCs w:val="0"/>
          <w:color w:val="000000"/>
          <w:highlight w:val="none"/>
          <w:lang w:eastAsia="zh-CN"/>
        </w:rPr>
        <w:t>（一）</w:t>
      </w:r>
      <w:r>
        <w:rPr>
          <w:rFonts w:hint="default" w:ascii="Times New Roman" w:hAnsi="Times New Roman" w:eastAsia="方正仿宋简体" w:cs="Times New Roman"/>
          <w:color w:val="000000"/>
          <w:highlight w:val="none"/>
        </w:rPr>
        <w:t>特别紧缺急需专业的</w:t>
      </w:r>
      <w:r>
        <w:rPr>
          <w:rFonts w:hint="default" w:ascii="Times New Roman" w:hAnsi="Times New Roman" w:eastAsia="方正仿宋简体" w:cs="Times New Roman"/>
          <w:color w:val="000000"/>
          <w:highlight w:val="none"/>
          <w:lang w:eastAsia="zh-CN"/>
        </w:rPr>
        <w:t>引聘人才的引聘</w:t>
      </w:r>
      <w:r>
        <w:rPr>
          <w:rFonts w:hint="default" w:ascii="Times New Roman" w:hAnsi="Times New Roman" w:eastAsia="方正仿宋简体" w:cs="Times New Roman"/>
          <w:color w:val="000000"/>
          <w:highlight w:val="none"/>
        </w:rPr>
        <w:t>条件可适当放宽，根据实际情况一事一议。</w:t>
      </w:r>
    </w:p>
    <w:p w14:paraId="2FC3DD6F">
      <w:pPr>
        <w:keepNext w:val="0"/>
        <w:keepLines w:val="0"/>
        <w:pageBreakBefore w:val="0"/>
        <w:tabs>
          <w:tab w:val="left" w:pos="2632"/>
        </w:tabs>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val="0"/>
          <w:bCs w:val="0"/>
          <w:color w:val="000000"/>
          <w:highlight w:val="none"/>
          <w:lang w:eastAsia="zh-CN"/>
        </w:rPr>
        <w:t>（二）</w:t>
      </w:r>
      <w:r>
        <w:rPr>
          <w:rFonts w:hint="default" w:ascii="Times New Roman" w:hAnsi="Times New Roman" w:eastAsia="方正仿宋简体" w:cs="Times New Roman"/>
          <w:color w:val="000000"/>
          <w:highlight w:val="none"/>
        </w:rPr>
        <w:t>本</w:t>
      </w:r>
      <w:r>
        <w:rPr>
          <w:rFonts w:hint="default" w:ascii="Times New Roman" w:hAnsi="Times New Roman" w:eastAsia="方正仿宋简体" w:cs="Times New Roman"/>
          <w:color w:val="000000"/>
          <w:highlight w:val="none"/>
          <w:lang w:eastAsia="zh-CN"/>
        </w:rPr>
        <w:t>方案</w:t>
      </w:r>
      <w:r>
        <w:rPr>
          <w:rFonts w:hint="default" w:ascii="Times New Roman" w:hAnsi="Times New Roman" w:eastAsia="方正仿宋简体" w:cs="Times New Roman"/>
          <w:color w:val="000000"/>
          <w:highlight w:val="none"/>
        </w:rPr>
        <w:t>与我市现行政策存在交叉重叠的，按照“从优、从新、不重复”原则执行。</w:t>
      </w:r>
    </w:p>
    <w:p w14:paraId="7E3FE635">
      <w:pPr>
        <w:tabs>
          <w:tab w:val="left" w:pos="2632"/>
        </w:tabs>
        <w:adjustRightInd w:val="0"/>
        <w:snapToGrid w:val="0"/>
        <w:spacing w:line="570" w:lineRule="exact"/>
        <w:ind w:right="0" w:rightChars="0" w:firstLine="640" w:firstLineChars="200"/>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val="0"/>
          <w:bCs w:val="0"/>
          <w:color w:val="000000"/>
          <w:highlight w:val="none"/>
          <w:lang w:eastAsia="zh-CN"/>
        </w:rPr>
        <w:t>（三）</w:t>
      </w:r>
      <w:r>
        <w:rPr>
          <w:rFonts w:hint="default" w:ascii="Times New Roman" w:hAnsi="Times New Roman" w:eastAsia="方正仿宋简体" w:cs="Times New Roman"/>
          <w:color w:val="000000"/>
          <w:highlight w:val="none"/>
        </w:rPr>
        <w:t>本</w:t>
      </w:r>
      <w:r>
        <w:rPr>
          <w:rFonts w:hint="default" w:ascii="Times New Roman" w:hAnsi="Times New Roman" w:eastAsia="方正仿宋简体" w:cs="Times New Roman"/>
          <w:color w:val="000000"/>
          <w:highlight w:val="none"/>
          <w:lang w:eastAsia="zh-CN"/>
        </w:rPr>
        <w:t>方案</w:t>
      </w:r>
      <w:r>
        <w:rPr>
          <w:rFonts w:hint="default" w:ascii="Times New Roman" w:hAnsi="Times New Roman" w:eastAsia="方正仿宋简体" w:cs="Times New Roman"/>
          <w:color w:val="000000"/>
          <w:highlight w:val="none"/>
        </w:rPr>
        <w:t>自</w:t>
      </w:r>
      <w:r>
        <w:rPr>
          <w:rFonts w:hint="default" w:ascii="Times New Roman" w:hAnsi="Times New Roman" w:eastAsia="方正仿宋简体" w:cs="Times New Roman"/>
          <w:color w:val="000000"/>
          <w:highlight w:val="none"/>
          <w:lang w:eastAsia="zh-CN"/>
        </w:rPr>
        <w:t>印发之日</w:t>
      </w:r>
      <w:r>
        <w:rPr>
          <w:rFonts w:hint="default" w:ascii="Times New Roman" w:hAnsi="Times New Roman" w:eastAsia="方正仿宋简体" w:cs="Times New Roman"/>
          <w:color w:val="000000"/>
          <w:highlight w:val="none"/>
        </w:rPr>
        <w:t>起施行</w:t>
      </w:r>
      <w:r>
        <w:rPr>
          <w:rFonts w:hint="default" w:ascii="Times New Roman" w:hAnsi="Times New Roman" w:eastAsia="方正仿宋简体" w:cs="Times New Roman"/>
          <w:color w:val="000000"/>
          <w:highlight w:val="none"/>
          <w:lang w:eastAsia="zh-CN"/>
        </w:rPr>
        <w:t>，有效期</w:t>
      </w:r>
      <w:r>
        <w:rPr>
          <w:rFonts w:hint="default" w:ascii="Times New Roman" w:hAnsi="Times New Roman" w:eastAsia="方正仿宋简体" w:cs="Times New Roman"/>
          <w:color w:val="000000"/>
          <w:highlight w:val="none"/>
          <w:lang w:val="en-US" w:eastAsia="zh-CN"/>
        </w:rPr>
        <w:t>5年</w:t>
      </w:r>
      <w:r>
        <w:rPr>
          <w:rFonts w:hint="default" w:ascii="Times New Roman" w:hAnsi="Times New Roman" w:eastAsia="方正仿宋简体" w:cs="Times New Roman"/>
          <w:color w:val="000000"/>
          <w:highlight w:val="none"/>
        </w:rPr>
        <w:t>。</w:t>
      </w:r>
    </w:p>
    <w:p w14:paraId="18852351">
      <w:pPr>
        <w:tabs>
          <w:tab w:val="left" w:pos="2632"/>
        </w:tabs>
        <w:adjustRightInd w:val="0"/>
        <w:snapToGrid w:val="0"/>
        <w:spacing w:line="570" w:lineRule="exact"/>
        <w:ind w:right="0" w:rightChars="0" w:firstLine="640" w:firstLineChars="200"/>
        <w:outlineLvl w:val="0"/>
        <w:rPr>
          <w:rFonts w:hint="eastAsia" w:ascii="Times New Roman" w:hAnsi="Times New Roman" w:eastAsia="方正仿宋简体" w:cs="Times New Roman"/>
          <w:b w:val="0"/>
          <w:bCs w:val="0"/>
          <w:color w:val="000000"/>
          <w:highlight w:val="none"/>
          <w:lang w:val="en-US" w:eastAsia="zh-CN"/>
        </w:rPr>
      </w:pPr>
      <w:r>
        <w:rPr>
          <w:rFonts w:hint="default" w:ascii="Times New Roman" w:hAnsi="Times New Roman" w:eastAsia="方正仿宋简体" w:cs="Times New Roman"/>
          <w:b w:val="0"/>
          <w:bCs w:val="0"/>
          <w:color w:val="000000"/>
          <w:highlight w:val="none"/>
          <w:lang w:eastAsia="zh-CN"/>
        </w:rPr>
        <w:t>（四）</w:t>
      </w:r>
      <w:r>
        <w:rPr>
          <w:rFonts w:hint="default" w:ascii="Times New Roman" w:hAnsi="Times New Roman" w:eastAsia="方正仿宋简体" w:cs="Times New Roman"/>
          <w:color w:val="000000"/>
          <w:highlight w:val="none"/>
        </w:rPr>
        <w:t>各县（市、区）</w:t>
      </w:r>
      <w:r>
        <w:rPr>
          <w:rFonts w:hint="default" w:ascii="Times New Roman" w:hAnsi="Times New Roman" w:eastAsia="方正仿宋简体" w:cs="Times New Roman"/>
          <w:color w:val="000000"/>
          <w:highlight w:val="none"/>
          <w:lang w:eastAsia="zh-CN"/>
        </w:rPr>
        <w:t>人民政府，</w:t>
      </w:r>
      <w:r>
        <w:rPr>
          <w:rFonts w:hint="default" w:ascii="Times New Roman" w:hAnsi="Times New Roman" w:eastAsia="方正仿宋简体" w:cs="Times New Roman"/>
          <w:color w:val="000000"/>
          <w:highlight w:val="none"/>
        </w:rPr>
        <w:t>泉州开发区、泉州台商</w:t>
      </w:r>
      <w:r>
        <w:rPr>
          <w:rFonts w:hint="eastAsia" w:ascii="Times New Roman" w:hAnsi="Times New Roman" w:eastAsia="方正仿宋简体" w:cs="Times New Roman"/>
          <w:color w:val="000000"/>
          <w:highlight w:val="none"/>
          <w:lang w:eastAsia="zh-CN"/>
        </w:rPr>
        <w:t>投资区管委会可根据本地实际配套出台工作细则。</w:t>
      </w:r>
    </w:p>
    <w:p w14:paraId="1A9262E9">
      <w:pPr>
        <w:tabs>
          <w:tab w:val="left" w:pos="2632"/>
        </w:tabs>
        <w:adjustRightInd w:val="0"/>
        <w:snapToGrid w:val="0"/>
        <w:spacing w:line="570" w:lineRule="exact"/>
        <w:ind w:right="0" w:rightChars="0" w:firstLine="0" w:firstLineChars="0"/>
        <w:outlineLvl w:val="0"/>
        <w:rPr>
          <w:rFonts w:hint="default" w:ascii="Times New Roman" w:hAnsi="Times New Roman" w:eastAsia="方正仿宋简体" w:cs="Times New Roman"/>
          <w:color w:val="000000"/>
        </w:rPr>
      </w:pPr>
      <w:r>
        <w:rPr>
          <w:rFonts w:hint="default" w:ascii="Times New Roman" w:hAnsi="Times New Roman" w:eastAsia="方正仿宋简体" w:cs="Times New Roman"/>
          <w:b w:val="0"/>
          <w:bCs w:val="0"/>
          <w:color w:val="000000"/>
          <w:highlight w:val="none"/>
          <w:lang w:eastAsia="zh-CN"/>
        </w:rPr>
        <w:drawing>
          <wp:anchor distT="0" distB="0" distL="114300" distR="114300" simplePos="0" relativeHeight="251669504" behindDoc="0" locked="0" layoutInCell="1" allowOverlap="1">
            <wp:simplePos x="0" y="0"/>
            <wp:positionH relativeFrom="margin">
              <wp:posOffset>3790315</wp:posOffset>
            </wp:positionH>
            <wp:positionV relativeFrom="margin">
              <wp:posOffset>8112125</wp:posOffset>
            </wp:positionV>
            <wp:extent cx="1841500" cy="457200"/>
            <wp:effectExtent l="0" t="0" r="6350" b="0"/>
            <wp:wrapNone/>
            <wp:docPr id="11" name="图片 92" descr="http://10.40.5.17:6888/lw-zwbg-cloud//core/upload/2022/10/25/20221025054256880.bmp"/>
            <wp:cNvGraphicFramePr/>
            <a:graphic xmlns:a="http://schemas.openxmlformats.org/drawingml/2006/main">
              <a:graphicData uri="http://schemas.openxmlformats.org/drawingml/2006/picture">
                <pic:pic xmlns:pic="http://schemas.openxmlformats.org/drawingml/2006/picture">
                  <pic:nvPicPr>
                    <pic:cNvPr id="11" name="图片 92" descr="http://10.40.5.17:6888/lw-zwbg-cloud//core/upload/2022/10/25/20221025054256880.bmp"/>
                    <pic:cNvPicPr/>
                  </pic:nvPicPr>
                  <pic:blipFill>
                    <a:blip r:embed="rId10" r:link="rId11"/>
                    <a:stretch>
                      <a:fillRect/>
                    </a:stretch>
                  </pic:blipFill>
                  <pic:spPr>
                    <a:xfrm>
                      <a:off x="0" y="0"/>
                      <a:ext cx="1841500" cy="457200"/>
                    </a:xfrm>
                    <a:prstGeom prst="rect">
                      <a:avLst/>
                    </a:prstGeom>
                    <a:noFill/>
                    <a:ln>
                      <a:noFill/>
                    </a:ln>
                  </pic:spPr>
                </pic:pic>
              </a:graphicData>
            </a:graphic>
          </wp:anchor>
        </w:drawing>
      </w:r>
      <w:bookmarkEnd w:id="4"/>
      <w:r>
        <w:rPr>
          <w:rFonts w:hint="default" w:ascii="Times New Roman" w:hAnsi="Times New Roman" w:eastAsia="方正仿宋简体" w:cs="Times New Roman"/>
          <w:color w:val="000000"/>
        </w:rPr>
        <mc:AlternateContent>
          <mc:Choice Requires="wps">
            <w:drawing>
              <wp:anchor distT="0" distB="0" distL="114300" distR="114300" simplePos="0" relativeHeight="251667456" behindDoc="0" locked="1" layoutInCell="1" allowOverlap="1">
                <wp:simplePos x="0" y="0"/>
                <wp:positionH relativeFrom="column">
                  <wp:posOffset>3663950</wp:posOffset>
                </wp:positionH>
                <wp:positionV relativeFrom="page">
                  <wp:posOffset>9388475</wp:posOffset>
                </wp:positionV>
                <wp:extent cx="2005965" cy="82677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005965" cy="826770"/>
                        </a:xfrm>
                        <a:prstGeom prst="rect">
                          <a:avLst/>
                        </a:prstGeom>
                        <a:solidFill>
                          <a:srgbClr val="FFFFFF">
                            <a:alpha val="0"/>
                          </a:srgbClr>
                        </a:solidFill>
                        <a:ln>
                          <a:noFill/>
                        </a:ln>
                      </wps:spPr>
                      <wps:txbx>
                        <w:txbxContent>
                          <w:p w14:paraId="49A9D969">
                            <w:pPr>
                              <w:rPr>
                                <w:rFonts w:ascii="Times New Roman" w:hAnsi="Times New Roman" w:cs="Times New Roman"/>
                              </w:rPr>
                            </w:pPr>
                            <w:bookmarkStart w:id="8" w:name="pdfcode"/>
                            <w:bookmarkEnd w:id="8"/>
                          </w:p>
                        </w:txbxContent>
                      </wps:txbx>
                      <wps:bodyPr wrap="none" upright="1">
                        <a:spAutoFit/>
                      </wps:bodyPr>
                    </wps:wsp>
                  </a:graphicData>
                </a:graphic>
              </wp:anchor>
            </w:drawing>
          </mc:Choice>
          <mc:Fallback>
            <w:pict>
              <v:shape id="_x0000_s1026" o:spid="_x0000_s1026" o:spt="202" type="#_x0000_t202" style="position:absolute;left:0pt;margin-left:288.5pt;margin-top:739.25pt;height:65.1pt;width:157.95pt;mso-position-vertical-relative:page;mso-wrap-style:none;z-index:251667456;mso-width-relative:page;mso-height-relative:page;" stroked="f" coordsize="21600,21600" o:gfxdata="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vcO394A&#10;AAANAQAADwAAAAAAAAABACAAAAAiAAAAZHJzL2Rvd25yZXYueG1sUEsBAhQAFAAAAAgAh07iQOj4&#10;eLXgAQAAugMAAA4AAAAAAAAAAQAgAAAALQEAAGRycy9lMm9Eb2MueG1sUEsFBgAAAAAGAAYAWQEA&#10;AH8FAAAAAA==&#10;">
                <v:path/>
                <v:fill opacity="0f" focussize="0,0"/>
                <v:stroke on="f"/>
                <v:imagedata o:title=""/>
                <o:lock v:ext="edit" grouping="f" rotation="f" text="f" aspectratio="f"/>
                <v:textbox style="mso-fit-shape-to-text:t;">
                  <w:txbxContent>
                    <w:p w14:paraId="49A9D969">
                      <w:pPr>
                        <w:rPr>
                          <w:rFonts w:ascii="Times New Roman" w:hAnsi="Times New Roman" w:cs="Times New Roman"/>
                        </w:rPr>
                      </w:pPr>
                      <w:bookmarkStart w:id="8" w:name="pdfcode"/>
                      <w:bookmarkEnd w:id="8"/>
                    </w:p>
                  </w:txbxContent>
                </v:textbox>
                <w10:anchorlock/>
              </v:shape>
            </w:pict>
          </mc:Fallback>
        </mc:AlternateContent>
      </w:r>
      <w:r>
        <w:rPr>
          <w:rFonts w:hint="default" w:ascii="Times New Roman" w:hAnsi="Times New Roman" w:eastAsia="方正仿宋简体" w:cs="Times New Roman"/>
          <w:color w:val="000000"/>
        </w:rPr>
        <mc:AlternateContent>
          <mc:Choice Requires="wps">
            <w:drawing>
              <wp:anchor distT="0" distB="0" distL="114300" distR="114300" simplePos="0" relativeHeight="251660288" behindDoc="0" locked="0" layoutInCell="1" allowOverlap="1">
                <wp:simplePos x="0" y="0"/>
                <wp:positionH relativeFrom="margin">
                  <wp:posOffset>-1270</wp:posOffset>
                </wp:positionH>
                <wp:positionV relativeFrom="page">
                  <wp:posOffset>9071610</wp:posOffset>
                </wp:positionV>
                <wp:extent cx="5619750" cy="0"/>
                <wp:effectExtent l="0" t="4445" r="0" b="5080"/>
                <wp:wrapTopAndBottom/>
                <wp:docPr id="4" name="直接连接符 4"/>
                <wp:cNvGraphicFramePr/>
                <a:graphic xmlns:a="http://schemas.openxmlformats.org/drawingml/2006/main">
                  <a:graphicData uri="http://schemas.microsoft.com/office/word/2010/wordprocessingShape">
                    <wps:wsp>
                      <wps:cNvSpPr/>
                      <wps:spPr>
                        <a:xfrm>
                          <a:off x="0" y="0"/>
                          <a:ext cx="56197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pt;margin-top:714.3pt;height:0pt;width:442.5pt;mso-position-horizontal-relative:margin;mso-position-vertical-relative:page;mso-wrap-distance-bottom:0pt;mso-wrap-distance-top:0pt;z-index:251660288;mso-width-relative:page;mso-height-relative:page;" filled="f" coordsize="21600,21600" o:gfxdata="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IvI8dUAAAALAQAADwAAAAAAAAABACAAAAAiAAAAZHJzL2Rvd25yZXYueG1sUEsBAhQA&#10;FAAAAAgAh07iQBmgQKH1AQAA5AMAAA4AAAAAAAAAAQAgAAAAJAEAAGRycy9lMm9Eb2MueG1sUEsF&#10;BgAAAAAGAAYAWQEAAIsFAAAAAA==&#10;">
                <v:path arrowok="t"/>
                <v:fill on="f" focussize="0,0"/>
                <v:stroke/>
                <v:imagedata o:title=""/>
                <o:lock v:ext="edit" grouping="f" rotation="f" text="f" aspectratio="f"/>
                <w10:wrap type="topAndBottom"/>
              </v:line>
            </w:pict>
          </mc:Fallback>
        </mc:AlternateContent>
      </w:r>
      <w:r>
        <w:rPr>
          <w:rFonts w:hint="default" w:ascii="Times New Roman" w:hAnsi="Times New Roman" w:eastAsia="方正仿宋简体" w:cs="Times New Roman"/>
          <w:color w:val="000000"/>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ge">
                  <wp:posOffset>9431655</wp:posOffset>
                </wp:positionV>
                <wp:extent cx="5618480" cy="0"/>
                <wp:effectExtent l="0" t="4445" r="0" b="5080"/>
                <wp:wrapTopAndBottom/>
                <wp:docPr id="5" name="直接连接符 5"/>
                <wp:cNvGraphicFramePr/>
                <a:graphic xmlns:a="http://schemas.openxmlformats.org/drawingml/2006/main">
                  <a:graphicData uri="http://schemas.microsoft.com/office/word/2010/wordprocessingShape">
                    <wps:wsp>
                      <wps:cNvSp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42.65pt;height:0pt;width:442.4pt;mso-position-horizontal-relative:margin;mso-position-vertical-relative:page;mso-wrap-distance-bottom:0pt;mso-wrap-distance-top:0pt;z-index:251661312;mso-width-relative:page;mso-height-relative:page;" filled="f" coordsize="21600,21600" o:gfxdata="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TJFm1QAAAAoBAAAPAAAAAAAAAAEAIAAAACIAAABkcnMvZG93bnJldi54bWxQSwECFAAU&#10;AAAACACHTuJA9KC+O/QBAADkAwAADgAAAAAAAAABACAAAAAkAQAAZHJzL2Uyb0RvYy54bWxQSwUG&#10;AAAAAAYABgBZAQAAigUAAAAA&#10;">
                <v:path arrowok="t"/>
                <v:fill on="f" focussize="0,0"/>
                <v:stroke/>
                <v:imagedata o:title=""/>
                <o:lock v:ext="edit" grouping="f" rotation="f" text="f" aspectratio="f"/>
                <w10:wrap type="topAndBottom"/>
              </v:line>
            </w:pict>
          </mc:Fallback>
        </mc:AlternateContent>
      </w:r>
      <w:r>
        <w:rPr>
          <w:rFonts w:hint="default" w:ascii="Times New Roman" w:hAnsi="Times New Roman" w:eastAsia="方正仿宋简体"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122555</wp:posOffset>
                </wp:positionH>
                <wp:positionV relativeFrom="page">
                  <wp:posOffset>9071610</wp:posOffset>
                </wp:positionV>
                <wp:extent cx="3000375" cy="360045"/>
                <wp:effectExtent l="0" t="0" r="0" b="0"/>
                <wp:wrapTopAndBottom/>
                <wp:docPr id="6" name="文本框 6"/>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a:noFill/>
                        </a:ln>
                      </wps:spPr>
                      <wps:txbx>
                        <w:txbxContent>
                          <w:p w14:paraId="1EE4FE7D">
                            <w:pPr>
                              <w:pStyle w:val="4"/>
                              <w:rPr>
                                <w:rFonts w:ascii="方正仿宋简体" w:hAnsi="Times New Roman" w:eastAsia="方正仿宋简体" w:cs="Times New Roman"/>
                                <w:sz w:val="28"/>
                                <w:szCs w:val="28"/>
                              </w:rPr>
                            </w:pPr>
                            <w:r>
                              <w:rPr>
                                <w:rFonts w:hint="eastAsia" w:ascii="方正仿宋简体" w:hAnsi="Times New Roman" w:eastAsia="方正仿宋简体" w:cs="Times New Roman"/>
                                <w:sz w:val="28"/>
                                <w:szCs w:val="28"/>
                              </w:rPr>
                              <w:t>泉州市人民政府办公室</w:t>
                            </w:r>
                          </w:p>
                        </w:txbxContent>
                      </wps:txbx>
                      <wps:bodyPr lIns="0" tIns="0" rIns="0" bIns="0" upright="1"/>
                    </wps:wsp>
                  </a:graphicData>
                </a:graphic>
              </wp:anchor>
            </w:drawing>
          </mc:Choice>
          <mc:Fallback>
            <w:pict>
              <v:shape id="_x0000_s1026" o:spid="_x0000_s1026" o:spt="202" type="#_x0000_t202" style="position:absolute;left:0pt;margin-left:9.65pt;margin-top:714.3pt;height:28.35pt;width:236.25pt;mso-position-vertical-relative:page;mso-wrap-distance-bottom:0pt;mso-wrap-distance-top:0pt;z-index:251662336;mso-width-relative:page;mso-height-relative:page;" filled="f" stroked="f" coordsize="21600,21600" o:gfxdata="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QILHaAAAADAEAAA8AAAAAAAAAAQAgAAAAIgAAAGRycy9kb3ducmV2LnhtbFBL&#10;AQIUABQAAAAIAIdO4kAU8xlduwEAAHIDAAAOAAAAAAAAAAEAIAAAACkBAABkcnMvZTJvRG9jLnht&#10;bFBLBQYAAAAABgAGAFkBAABWBQAAAAA=&#10;">
                <v:path/>
                <v:fill on="f" focussize="0,0"/>
                <v:stroke on="f"/>
                <v:imagedata o:title=""/>
                <o:lock v:ext="edit" grouping="f" rotation="f" text="f" aspectratio="f"/>
                <v:textbox inset="0mm,0mm,0mm,0mm">
                  <w:txbxContent>
                    <w:p w14:paraId="1EE4FE7D">
                      <w:pPr>
                        <w:pStyle w:val="4"/>
                        <w:rPr>
                          <w:rFonts w:ascii="方正仿宋简体" w:hAnsi="Times New Roman" w:eastAsia="方正仿宋简体" w:cs="Times New Roman"/>
                          <w:sz w:val="28"/>
                          <w:szCs w:val="28"/>
                        </w:rPr>
                      </w:pPr>
                      <w:r>
                        <w:rPr>
                          <w:rFonts w:hint="eastAsia" w:ascii="方正仿宋简体" w:hAnsi="Times New Roman" w:eastAsia="方正仿宋简体" w:cs="Times New Roman"/>
                          <w:sz w:val="28"/>
                          <w:szCs w:val="28"/>
                        </w:rPr>
                        <w:t>泉州市人民政府办公室</w:t>
                      </w:r>
                    </w:p>
                  </w:txbxContent>
                </v:textbox>
                <w10:wrap type="topAndBottom"/>
              </v:shape>
            </w:pict>
          </mc:Fallback>
        </mc:AlternateContent>
      </w:r>
      <w:r>
        <w:rPr>
          <w:rFonts w:hint="default" w:ascii="Times New Roman" w:hAnsi="Times New Roman" w:eastAsia="方正仿宋简体" w:cs="Times New Roman"/>
          <w:color w:val="000000"/>
        </w:rPr>
        <mc:AlternateContent>
          <mc:Choice Requires="wps">
            <w:drawing>
              <wp:anchor distT="0" distB="0" distL="114300" distR="114300" simplePos="0" relativeHeight="251663360" behindDoc="0" locked="0" layoutInCell="1" allowOverlap="1">
                <wp:simplePos x="0" y="0"/>
                <wp:positionH relativeFrom="column">
                  <wp:posOffset>3313430</wp:posOffset>
                </wp:positionH>
                <wp:positionV relativeFrom="page">
                  <wp:posOffset>9071610</wp:posOffset>
                </wp:positionV>
                <wp:extent cx="2201545" cy="360045"/>
                <wp:effectExtent l="0" t="0" r="0" b="0"/>
                <wp:wrapTopAndBottom/>
                <wp:docPr id="7" name="文本框 7"/>
                <wp:cNvGraphicFramePr/>
                <a:graphic xmlns:a="http://schemas.openxmlformats.org/drawingml/2006/main">
                  <a:graphicData uri="http://schemas.microsoft.com/office/word/2010/wordprocessingShape">
                    <wps:wsp>
                      <wps:cNvSpPr txBox="1"/>
                      <wps:spPr>
                        <a:xfrm>
                          <a:off x="0" y="0"/>
                          <a:ext cx="2201545" cy="360045"/>
                        </a:xfrm>
                        <a:prstGeom prst="rect">
                          <a:avLst/>
                        </a:prstGeom>
                        <a:noFill/>
                        <a:ln>
                          <a:noFill/>
                        </a:ln>
                      </wps:spPr>
                      <wps:txbx>
                        <w:txbxContent>
                          <w:p w14:paraId="176A884E">
                            <w:pPr>
                              <w:jc w:val="right"/>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2022年10月24日</w:t>
                            </w:r>
                            <w:r>
                              <w:rPr>
                                <w:rFonts w:ascii="Times New Roman" w:hAnsi="Times New Roman" w:eastAsia="方正仿宋简体" w:cs="Times New Roman"/>
                                <w:sz w:val="28"/>
                                <w:szCs w:val="28"/>
                              </w:rPr>
                              <w:t>印发</w:t>
                            </w:r>
                          </w:p>
                        </w:txbxContent>
                      </wps:txbx>
                      <wps:bodyPr lIns="0" tIns="0" rIns="0" bIns="0" upright="1"/>
                    </wps:wsp>
                  </a:graphicData>
                </a:graphic>
              </wp:anchor>
            </w:drawing>
          </mc:Choice>
          <mc:Fallback>
            <w:pict>
              <v:shape id="_x0000_s1026" o:spid="_x0000_s1026" o:spt="202" type="#_x0000_t202" style="position:absolute;left:0pt;margin-left:260.9pt;margin-top:714.3pt;height:28.35pt;width:173.35pt;mso-position-vertical-relative:page;mso-wrap-distance-bottom:0pt;mso-wrap-distance-top:0pt;z-index:251663360;mso-width-relative:page;mso-height-relative:page;" filled="f" stroked="f" coordsize="21600,21600" o:gfxdata="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bovwI2gAAAA0BAAAPAAAAAAAAAAEAIAAAACIAAABkcnMvZG93bnJldi54bWxQSwEC&#10;FAAUAAAACACHTuJABR7ON7kBAAByAwAADgAAAAAAAAABACAAAAApAQAAZHJzL2Uyb0RvYy54bWxQ&#10;SwUGAAAAAAYABgBZAQAAVAUAAAAA&#10;">
                <v:path/>
                <v:fill on="f" focussize="0,0"/>
                <v:stroke on="f"/>
                <v:imagedata o:title=""/>
                <o:lock v:ext="edit" grouping="f" rotation="f" text="f" aspectratio="f"/>
                <v:textbox inset="0mm,0mm,0mm,0mm">
                  <w:txbxContent>
                    <w:p w14:paraId="176A884E">
                      <w:pPr>
                        <w:jc w:val="right"/>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2022年10月24日</w:t>
                      </w:r>
                      <w:r>
                        <w:rPr>
                          <w:rFonts w:ascii="Times New Roman" w:hAnsi="Times New Roman" w:eastAsia="方正仿宋简体" w:cs="Times New Roman"/>
                          <w:sz w:val="28"/>
                          <w:szCs w:val="28"/>
                        </w:rPr>
                        <w:t>印发</w:t>
                      </w:r>
                    </w:p>
                  </w:txbxContent>
                </v:textbox>
                <w10:wrap type="topAndBottom"/>
              </v:shape>
            </w:pict>
          </mc:Fallback>
        </mc:AlternateContent>
      </w:r>
    </w:p>
    <w:p w14:paraId="1F3033BF">
      <w:pPr>
        <w:spacing w:line="570" w:lineRule="exact"/>
        <w:ind w:right="0" w:rightChars="0" w:firstLine="0" w:firstLineChars="0"/>
        <w:rPr>
          <w:rFonts w:hint="default"/>
        </w:rPr>
      </w:pPr>
      <w:r>
        <w:rPr>
          <w:rFonts w:hint="default" w:ascii="Times New Roman" w:hAnsi="Times New Roman" w:eastAsia="方正仿宋简体" w:cs="Times New Roman"/>
          <w:color w:val="000000"/>
        </w:rPr>
        <mc:AlternateContent>
          <mc:Choice Requires="wps">
            <w:drawing>
              <wp:anchor distT="0" distB="0" distL="114300" distR="114300" simplePos="0" relativeHeight="251665408" behindDoc="0" locked="0" layoutInCell="1" allowOverlap="1">
                <wp:simplePos x="0" y="0"/>
                <wp:positionH relativeFrom="column">
                  <wp:posOffset>-17780</wp:posOffset>
                </wp:positionH>
                <wp:positionV relativeFrom="page">
                  <wp:posOffset>6850380</wp:posOffset>
                </wp:positionV>
                <wp:extent cx="5618480" cy="0"/>
                <wp:effectExtent l="0" t="4445" r="0" b="5080"/>
                <wp:wrapTopAndBottom/>
                <wp:docPr id="8" name="直接连接符 8"/>
                <wp:cNvGraphicFramePr/>
                <a:graphic xmlns:a="http://schemas.openxmlformats.org/drawingml/2006/main">
                  <a:graphicData uri="http://schemas.microsoft.com/office/word/2010/wordprocessingShape">
                    <wps:wsp>
                      <wps:cNvSp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pt;margin-top:539.4pt;height:0pt;width:442.4pt;mso-position-vertical-relative:page;mso-wrap-distance-bottom:0pt;mso-wrap-distance-top:0pt;z-index:251665408;mso-width-relative:page;mso-height-relative:page;" filled="f" coordsize="21600,21600" o:gfxdata="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ML1qdYAAAAMAQAADwAAAAAAAAABACAAAAAiAAAAZHJzL2Rvd25yZXYueG1sUEsBAhQA&#10;FAAAAAgAh07iQOo1++X0AQAA5AMAAA4AAAAAAAAAAQAgAAAAJQEAAGRycy9lMm9Eb2MueG1sUEsF&#10;BgAAAAAGAAYAWQEAAIsFAAAAAA==&#10;">
                <v:path arrowok="t"/>
                <v:fill on="f" focussize="0,0"/>
                <v:stroke/>
                <v:imagedata o:title=""/>
                <o:lock v:ext="edit" grouping="f" rotation="f" text="f" aspectratio="f"/>
                <w10:wrap type="topAndBottom"/>
              </v:line>
            </w:pict>
          </mc:Fallback>
        </mc:AlternateContent>
      </w:r>
      <w:r>
        <w:rPr>
          <w:rFonts w:hint="default" w:ascii="Times New Roman" w:hAnsi="Times New Roman" w:eastAsia="方正仿宋简体" w:cs="Times New Roman"/>
          <w:color w:val="000000"/>
        </w:rPr>
        <mc:AlternateContent>
          <mc:Choice Requires="wps">
            <w:drawing>
              <wp:anchor distT="0" distB="0" distL="114300" distR="114300" simplePos="0" relativeHeight="251664384" behindDoc="0" locked="0" layoutInCell="1" allowOverlap="1">
                <wp:simplePos x="0" y="0"/>
                <wp:positionH relativeFrom="margin">
                  <wp:posOffset>100330</wp:posOffset>
                </wp:positionH>
                <wp:positionV relativeFrom="page">
                  <wp:posOffset>6867525</wp:posOffset>
                </wp:positionV>
                <wp:extent cx="5300980" cy="2198370"/>
                <wp:effectExtent l="0" t="0" r="0" b="0"/>
                <wp:wrapTopAndBottom/>
                <wp:docPr id="10" name="文本框 10"/>
                <wp:cNvGraphicFramePr/>
                <a:graphic xmlns:a="http://schemas.openxmlformats.org/drawingml/2006/main">
                  <a:graphicData uri="http://schemas.microsoft.com/office/word/2010/wordprocessingShape">
                    <wps:wsp>
                      <wps:cNvSpPr txBox="1"/>
                      <wps:spPr>
                        <a:xfrm>
                          <a:off x="0" y="0"/>
                          <a:ext cx="5300980" cy="2198370"/>
                        </a:xfrm>
                        <a:prstGeom prst="rect">
                          <a:avLst/>
                        </a:prstGeom>
                        <a:noFill/>
                        <a:ln>
                          <a:noFill/>
                        </a:ln>
                      </wps:spPr>
                      <wps:txbx>
                        <w:txbxContent>
                          <w:p w14:paraId="1A36E326">
                            <w:pPr>
                              <w:spacing w:line="560" w:lineRule="exact"/>
                              <w:ind w:left="840" w:hanging="840" w:hangingChars="300"/>
                              <w:rPr>
                                <w:rFonts w:hint="eastAsia" w:ascii="方正仿宋简体" w:hAnsi="Times New Roman" w:eastAsia="方正仿宋简体" w:cs="Times New Roman"/>
                                <w:sz w:val="28"/>
                                <w:szCs w:val="28"/>
                                <w:lang w:eastAsia="zh-CN"/>
                              </w:rPr>
                            </w:pPr>
                            <w:r>
                              <w:rPr>
                                <w:rFonts w:hint="eastAsia" w:ascii="方正仿宋简体" w:hAnsi="Times New Roman" w:eastAsia="方正仿宋简体" w:cs="Times New Roman"/>
                                <w:sz w:val="28"/>
                                <w:szCs w:val="28"/>
                              </w:rPr>
                              <w:t>抄送：</w:t>
                            </w:r>
                            <w:bookmarkStart w:id="9" w:name="repe_抄送单位"/>
                            <w:r>
                              <w:rPr>
                                <w:rFonts w:hint="eastAsia" w:ascii="方正仿宋简体" w:hAnsi="Times New Roman" w:eastAsia="方正仿宋简体" w:cs="Times New Roman"/>
                                <w:sz w:val="28"/>
                                <w:szCs w:val="28"/>
                                <w:lang w:eastAsia="zh-CN"/>
                              </w:rPr>
                              <w:t>省教育厅。</w:t>
                            </w:r>
                          </w:p>
                          <w:p w14:paraId="70FCA231">
                            <w:pPr>
                              <w:spacing w:line="560" w:lineRule="exact"/>
                              <w:ind w:left="835" w:leftChars="261" w:firstLine="0" w:firstLineChars="0"/>
                              <w:rPr>
                                <w:rFonts w:hint="eastAsia" w:ascii="方正仿宋简体" w:hAnsi="Times New Roman" w:eastAsia="方正仿宋简体" w:cs="Times New Roman"/>
                                <w:sz w:val="28"/>
                                <w:szCs w:val="28"/>
                                <w:lang w:eastAsia="zh-CN"/>
                              </w:rPr>
                            </w:pPr>
                            <w:r>
                              <w:rPr>
                                <w:rFonts w:hint="eastAsia" w:ascii="方正仿宋简体" w:hAnsi="Times New Roman" w:eastAsia="方正仿宋简体" w:cs="Times New Roman"/>
                                <w:sz w:val="28"/>
                                <w:szCs w:val="28"/>
                                <w:lang w:eastAsia="zh-CN"/>
                              </w:rPr>
                              <w:t>市委办公室、市委各部门，省部属驻泉各单位，泉州军分区，各人民团体。</w:t>
                            </w:r>
                          </w:p>
                          <w:p w14:paraId="2F4DF64B">
                            <w:pPr>
                              <w:spacing w:line="560" w:lineRule="exact"/>
                              <w:ind w:left="835" w:leftChars="261" w:firstLine="0" w:firstLineChars="0"/>
                              <w:rPr>
                                <w:rFonts w:hint="eastAsia" w:ascii="方正仿宋简体" w:hAnsi="Times New Roman" w:eastAsia="方正仿宋简体" w:cs="Times New Roman"/>
                                <w:sz w:val="28"/>
                                <w:szCs w:val="28"/>
                                <w:lang w:eastAsia="zh-CN"/>
                              </w:rPr>
                            </w:pPr>
                            <w:r>
                              <w:rPr>
                                <w:rFonts w:hint="eastAsia" w:ascii="方正仿宋简体" w:hAnsi="Times New Roman" w:eastAsia="方正仿宋简体" w:cs="Times New Roman"/>
                                <w:sz w:val="28"/>
                                <w:szCs w:val="28"/>
                                <w:lang w:eastAsia="zh-CN"/>
                              </w:rPr>
                              <w:t>市人大常委会办公室，市政协办公室，市监委，市中级人民法院，市人民检察院。</w:t>
                            </w:r>
                          </w:p>
                          <w:p w14:paraId="6B6C0D18">
                            <w:pPr>
                              <w:spacing w:line="560" w:lineRule="exact"/>
                              <w:ind w:left="835" w:leftChars="261" w:firstLine="0" w:firstLineChars="0"/>
                              <w:rPr>
                                <w:rFonts w:hint="eastAsia" w:ascii="方正仿宋简体" w:hAnsi="Times New Roman" w:eastAsia="方正仿宋简体" w:cs="Times New Roman"/>
                                <w:sz w:val="28"/>
                                <w:szCs w:val="28"/>
                              </w:rPr>
                            </w:pPr>
                            <w:r>
                              <w:rPr>
                                <w:rFonts w:hint="eastAsia" w:ascii="方正仿宋简体" w:hAnsi="Times New Roman" w:eastAsia="方正仿宋简体" w:cs="Times New Roman"/>
                                <w:sz w:val="28"/>
                                <w:szCs w:val="28"/>
                                <w:lang w:eastAsia="zh-CN"/>
                              </w:rPr>
                              <w:t>各民主党派泉州市委会，市工商联。</w:t>
                            </w:r>
                            <w:bookmarkEnd w:id="9"/>
                            <w:r>
                              <w:rPr>
                                <w:rFonts w:hint="eastAsia" w:ascii="方正仿宋简体" w:hAnsi="Times New Roman" w:eastAsia="方正仿宋简体" w:cs="Times New Roman"/>
                                <w:sz w:val="28"/>
                                <w:szCs w:val="28"/>
                              </w:rPr>
                              <w:t xml:space="preserve">   </w:t>
                            </w:r>
                          </w:p>
                          <w:p w14:paraId="3741BB0D">
                            <w:pPr>
                              <w:spacing w:line="560" w:lineRule="exact"/>
                              <w:ind w:left="964" w:hanging="964"/>
                              <w:rPr>
                                <w:rFonts w:hint="eastAsia" w:ascii="仿宋_GB2312" w:hAnsi="Times New Roman" w:cs="Times New Roman"/>
                              </w:rPr>
                            </w:pPr>
                          </w:p>
                          <w:p w14:paraId="210A56B3">
                            <w:pPr>
                              <w:spacing w:line="560" w:lineRule="exact"/>
                              <w:ind w:left="964" w:hanging="964"/>
                              <w:rPr>
                                <w:rFonts w:hint="eastAsia" w:ascii="仿宋_GB2312" w:hAnsi="Times New Roman" w:cs="Times New Roman"/>
                              </w:rPr>
                            </w:pPr>
                          </w:p>
                        </w:txbxContent>
                      </wps:txbx>
                      <wps:bodyPr lIns="0" tIns="0" rIns="0" bIns="0" upright="1"/>
                    </wps:wsp>
                  </a:graphicData>
                </a:graphic>
              </wp:anchor>
            </w:drawing>
          </mc:Choice>
          <mc:Fallback>
            <w:pict>
              <v:shape id="_x0000_s1026" o:spid="_x0000_s1026" o:spt="202" type="#_x0000_t202" style="position:absolute;left:0pt;margin-left:7.9pt;margin-top:540.75pt;height:173.1pt;width:417.4pt;mso-position-horizontal-relative:margin;mso-position-vertical-relative:page;mso-wrap-distance-bottom:0pt;mso-wrap-distance-top:0pt;z-index:251664384;mso-width-relative:page;mso-height-relative:page;" filled="f" stroked="f" coordsize="21600,21600" o:gfxdata="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8oeb82gAAAAwBAAAPAAAAAAAAAAEAIAAAACIAAABkcnMvZG93bnJldi54bWxQ&#10;SwECFAAUAAAACACHTuJA1xfAKLwBAAB1AwAADgAAAAAAAAABACAAAAApAQAAZHJzL2Uyb0RvYy54&#10;bWxQSwUGAAAAAAYABgBZAQAAVwUAAAAA&#10;">
                <v:path/>
                <v:fill on="f" focussize="0,0"/>
                <v:stroke on="f"/>
                <v:imagedata o:title=""/>
                <o:lock v:ext="edit" grouping="f" rotation="f" text="f" aspectratio="f"/>
                <v:textbox inset="0mm,0mm,0mm,0mm">
                  <w:txbxContent>
                    <w:p w14:paraId="1A36E326">
                      <w:pPr>
                        <w:spacing w:line="560" w:lineRule="exact"/>
                        <w:ind w:left="840" w:hanging="840" w:hangingChars="300"/>
                        <w:rPr>
                          <w:rFonts w:hint="eastAsia" w:ascii="方正仿宋简体" w:hAnsi="Times New Roman" w:eastAsia="方正仿宋简体" w:cs="Times New Roman"/>
                          <w:sz w:val="28"/>
                          <w:szCs w:val="28"/>
                          <w:lang w:eastAsia="zh-CN"/>
                        </w:rPr>
                      </w:pPr>
                      <w:r>
                        <w:rPr>
                          <w:rFonts w:hint="eastAsia" w:ascii="方正仿宋简体" w:hAnsi="Times New Roman" w:eastAsia="方正仿宋简体" w:cs="Times New Roman"/>
                          <w:sz w:val="28"/>
                          <w:szCs w:val="28"/>
                        </w:rPr>
                        <w:t>抄送：</w:t>
                      </w:r>
                      <w:bookmarkStart w:id="9" w:name="repe_抄送单位"/>
                      <w:r>
                        <w:rPr>
                          <w:rFonts w:hint="eastAsia" w:ascii="方正仿宋简体" w:hAnsi="Times New Roman" w:eastAsia="方正仿宋简体" w:cs="Times New Roman"/>
                          <w:sz w:val="28"/>
                          <w:szCs w:val="28"/>
                          <w:lang w:eastAsia="zh-CN"/>
                        </w:rPr>
                        <w:t>省教育厅。</w:t>
                      </w:r>
                    </w:p>
                    <w:p w14:paraId="70FCA231">
                      <w:pPr>
                        <w:spacing w:line="560" w:lineRule="exact"/>
                        <w:ind w:left="835" w:leftChars="261" w:firstLine="0" w:firstLineChars="0"/>
                        <w:rPr>
                          <w:rFonts w:hint="eastAsia" w:ascii="方正仿宋简体" w:hAnsi="Times New Roman" w:eastAsia="方正仿宋简体" w:cs="Times New Roman"/>
                          <w:sz w:val="28"/>
                          <w:szCs w:val="28"/>
                          <w:lang w:eastAsia="zh-CN"/>
                        </w:rPr>
                      </w:pPr>
                      <w:r>
                        <w:rPr>
                          <w:rFonts w:hint="eastAsia" w:ascii="方正仿宋简体" w:hAnsi="Times New Roman" w:eastAsia="方正仿宋简体" w:cs="Times New Roman"/>
                          <w:sz w:val="28"/>
                          <w:szCs w:val="28"/>
                          <w:lang w:eastAsia="zh-CN"/>
                        </w:rPr>
                        <w:t>市委办公室、市委各部门，省部属驻泉各单位，泉州军分区，各人民团体。</w:t>
                      </w:r>
                    </w:p>
                    <w:p w14:paraId="2F4DF64B">
                      <w:pPr>
                        <w:spacing w:line="560" w:lineRule="exact"/>
                        <w:ind w:left="835" w:leftChars="261" w:firstLine="0" w:firstLineChars="0"/>
                        <w:rPr>
                          <w:rFonts w:hint="eastAsia" w:ascii="方正仿宋简体" w:hAnsi="Times New Roman" w:eastAsia="方正仿宋简体" w:cs="Times New Roman"/>
                          <w:sz w:val="28"/>
                          <w:szCs w:val="28"/>
                          <w:lang w:eastAsia="zh-CN"/>
                        </w:rPr>
                      </w:pPr>
                      <w:r>
                        <w:rPr>
                          <w:rFonts w:hint="eastAsia" w:ascii="方正仿宋简体" w:hAnsi="Times New Roman" w:eastAsia="方正仿宋简体" w:cs="Times New Roman"/>
                          <w:sz w:val="28"/>
                          <w:szCs w:val="28"/>
                          <w:lang w:eastAsia="zh-CN"/>
                        </w:rPr>
                        <w:t>市人大常委会办公室，市政协办公室，市监委，市中级人民法院，市人民检察院。</w:t>
                      </w:r>
                    </w:p>
                    <w:p w14:paraId="6B6C0D18">
                      <w:pPr>
                        <w:spacing w:line="560" w:lineRule="exact"/>
                        <w:ind w:left="835" w:leftChars="261" w:firstLine="0" w:firstLineChars="0"/>
                        <w:rPr>
                          <w:rFonts w:hint="eastAsia" w:ascii="方正仿宋简体" w:hAnsi="Times New Roman" w:eastAsia="方正仿宋简体" w:cs="Times New Roman"/>
                          <w:sz w:val="28"/>
                          <w:szCs w:val="28"/>
                        </w:rPr>
                      </w:pPr>
                      <w:r>
                        <w:rPr>
                          <w:rFonts w:hint="eastAsia" w:ascii="方正仿宋简体" w:hAnsi="Times New Roman" w:eastAsia="方正仿宋简体" w:cs="Times New Roman"/>
                          <w:sz w:val="28"/>
                          <w:szCs w:val="28"/>
                          <w:lang w:eastAsia="zh-CN"/>
                        </w:rPr>
                        <w:t>各民主党派泉州市委会，市工商联。</w:t>
                      </w:r>
                      <w:bookmarkEnd w:id="9"/>
                      <w:r>
                        <w:rPr>
                          <w:rFonts w:hint="eastAsia" w:ascii="方正仿宋简体" w:hAnsi="Times New Roman" w:eastAsia="方正仿宋简体" w:cs="Times New Roman"/>
                          <w:sz w:val="28"/>
                          <w:szCs w:val="28"/>
                        </w:rPr>
                        <w:t xml:space="preserve">   </w:t>
                      </w:r>
                    </w:p>
                    <w:p w14:paraId="3741BB0D">
                      <w:pPr>
                        <w:spacing w:line="560" w:lineRule="exact"/>
                        <w:ind w:left="964" w:hanging="964"/>
                        <w:rPr>
                          <w:rFonts w:hint="eastAsia" w:ascii="仿宋_GB2312" w:hAnsi="Times New Roman" w:cs="Times New Roman"/>
                        </w:rPr>
                      </w:pPr>
                    </w:p>
                    <w:p w14:paraId="210A56B3">
                      <w:pPr>
                        <w:spacing w:line="560" w:lineRule="exact"/>
                        <w:ind w:left="964" w:hanging="964"/>
                        <w:rPr>
                          <w:rFonts w:hint="eastAsia" w:ascii="仿宋_GB2312" w:hAnsi="Times New Roman" w:cs="Times New Roman"/>
                        </w:rPr>
                      </w:pPr>
                    </w:p>
                  </w:txbxContent>
                </v:textbox>
                <w10:wrap type="topAndBottom"/>
              </v:shape>
            </w:pict>
          </mc:Fallback>
        </mc:AlternateContent>
      </w:r>
    </w:p>
    <w:p w14:paraId="0F9F32CF"/>
    <w:sectPr>
      <w:pgSz w:w="11906" w:h="16838"/>
      <w:pgMar w:top="2098" w:right="1474" w:bottom="1985" w:left="1588" w:header="851" w:footer="1418" w:gutter="0"/>
      <w:pgBorders w:offsetFrom="page">
        <w:top w:val="none" w:sz="0" w:space="0"/>
        <w:left w:val="none" w:sz="0" w:space="0"/>
        <w:bottom w:val="none" w:sz="0" w:space="0"/>
        <w:right w:val="none" w:sz="0" w:space="0"/>
      </w:pgBorders>
      <w:cols w:space="72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02943">
    <w:pPr>
      <w:pStyle w:val="5"/>
      <w:framePr w:w="1294" w:wrap="around" w:vAnchor="text" w:hAnchor="page" w:x="9139" w:y="1"/>
      <w:rPr>
        <w:rStyle w:val="9"/>
        <w:rFonts w:ascii="宋体" w:hAnsi="宋体" w:eastAsia="宋体"/>
      </w:rPr>
    </w:pPr>
    <w:r>
      <w:rPr>
        <w:rFonts w:hint="eastAsia" w:ascii="宋体" w:hAnsi="宋体" w:eastAsia="宋体"/>
        <w:sz w:val="28"/>
      </w:rPr>
      <w:t xml:space="preserve">— </w:t>
    </w:r>
    <w:r>
      <w:rPr>
        <w:rFonts w:hint="eastAsia" w:ascii="宋体" w:hAnsi="宋体" w:eastAsia="宋体"/>
        <w:sz w:val="28"/>
      </w:rPr>
      <w:fldChar w:fldCharType="begin"/>
    </w:r>
    <w:r>
      <w:rPr>
        <w:rStyle w:val="9"/>
        <w:rFonts w:hint="eastAsia"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1</w:t>
    </w:r>
    <w:r>
      <w:rPr>
        <w:rFonts w:hint="eastAsia" w:ascii="宋体" w:hAnsi="宋体" w:eastAsia="宋体"/>
        <w:sz w:val="28"/>
      </w:rPr>
      <w:fldChar w:fldCharType="end"/>
    </w:r>
    <w:r>
      <w:rPr>
        <w:rStyle w:val="9"/>
        <w:rFonts w:hint="eastAsia" w:ascii="宋体" w:hAnsi="宋体" w:eastAsia="宋体"/>
        <w:sz w:val="28"/>
      </w:rPr>
      <w:t xml:space="preserve"> </w:t>
    </w:r>
    <w:r>
      <w:rPr>
        <w:rFonts w:hint="eastAsia" w:ascii="宋体" w:hAnsi="宋体" w:eastAsia="宋体"/>
        <w:sz w:val="28"/>
      </w:rPr>
      <w:t>—</w:t>
    </w:r>
  </w:p>
  <w:p w14:paraId="46C73034">
    <w:pPr>
      <w:pStyle w:val="5"/>
      <w:rPr>
        <w:rFonts w:hint="eastAsia"/>
      </w:rPr>
    </w:pPr>
  </w:p>
  <w:p w14:paraId="641720AC">
    <w:pPr>
      <w:pStyle w:val="5"/>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54EBC">
    <w:pPr>
      <w:pStyle w:val="5"/>
      <w:framePr w:wrap="around" w:vAnchor="text" w:hAnchor="margin" w:xAlign="outside" w:y="1"/>
      <w:ind w:firstLine="280" w:firstLineChars="100"/>
      <w:rPr>
        <w:rStyle w:val="9"/>
        <w:rFonts w:ascii="宋体" w:hAnsi="宋体" w:eastAsia="宋体"/>
      </w:rPr>
    </w:pPr>
    <w:r>
      <w:rPr>
        <w:rFonts w:hint="eastAsia" w:ascii="宋体" w:hAnsi="宋体" w:eastAsia="宋体"/>
        <w:sz w:val="28"/>
      </w:rPr>
      <w:t xml:space="preserve">— </w:t>
    </w:r>
    <w:r>
      <w:rPr>
        <w:rFonts w:hint="eastAsia" w:ascii="宋体" w:hAnsi="宋体" w:eastAsia="宋体"/>
        <w:sz w:val="28"/>
      </w:rPr>
      <w:fldChar w:fldCharType="begin"/>
    </w:r>
    <w:r>
      <w:rPr>
        <w:rStyle w:val="9"/>
        <w:rFonts w:hint="eastAsia"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2</w:t>
    </w:r>
    <w:r>
      <w:rPr>
        <w:rFonts w:hint="eastAsia" w:ascii="宋体" w:hAnsi="宋体" w:eastAsia="宋体"/>
        <w:sz w:val="28"/>
      </w:rPr>
      <w:fldChar w:fldCharType="end"/>
    </w:r>
    <w:r>
      <w:rPr>
        <w:rStyle w:val="9"/>
        <w:rFonts w:hint="eastAsia" w:ascii="宋体" w:hAnsi="宋体" w:eastAsia="宋体"/>
        <w:sz w:val="28"/>
      </w:rPr>
      <w:t xml:space="preserve"> </w:t>
    </w:r>
    <w:r>
      <w:rPr>
        <w:rFonts w:hint="eastAsia" w:ascii="宋体" w:hAnsi="宋体" w:eastAsia="宋体"/>
        <w:sz w:val="28"/>
      </w:rPr>
      <w:t>—</w:t>
    </w:r>
  </w:p>
  <w:p w14:paraId="6CCC01C2">
    <w:pPr>
      <w:pStyle w:val="5"/>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2FA9E">
    <w:pPr>
      <w:pStyle w:val="5"/>
    </w:pPr>
  </w:p>
  <w:p w14:paraId="579F0D75">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67FDF">
    <w:pPr>
      <w:pStyle w:val="6"/>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1A85D">
    <w:pPr>
      <w:pStyle w:val="6"/>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E6AE1">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MDMzNzM5OTNhOTBjNWI0Y2I3ZDU4OTZmNWFmMTAifQ=="/>
  </w:docVars>
  <w:rsids>
    <w:rsidRoot w:val="556554A5"/>
    <w:rsid w:val="55655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after="0" w:afterLines="0"/>
      <w:ind w:firstLine="420" w:firstLineChars="100"/>
    </w:pPr>
    <w:rPr>
      <w:rFonts w:ascii="Times New Roman" w:hAnsi="Times New Roman" w:eastAsia="宋体" w:cs="Times New Roman"/>
    </w:rPr>
  </w:style>
  <w:style w:type="paragraph" w:styleId="3">
    <w:name w:val="Body Text"/>
    <w:basedOn w:val="1"/>
    <w:qFormat/>
    <w:uiPriority w:val="0"/>
    <w:pPr>
      <w:spacing w:after="120" w:afterLines="0"/>
    </w:pPr>
    <w:rPr>
      <w:rFonts w:ascii="Calibri" w:hAnsi="Calibri" w:eastAsia="宋体" w:cs="Calibri"/>
    </w:rPr>
  </w:style>
  <w:style w:type="paragraph" w:styleId="4">
    <w:name w:val="Date"/>
    <w:basedOn w:val="1"/>
    <w:next w:val="1"/>
    <w:uiPriority w:val="0"/>
    <w:rPr>
      <w:rFonts w:ascii="仿宋_GB2312"/>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http://10.40.5.17:6888/lw-zwbg-cloud//core/upload/2022/10/25/20221025054256880.bmp" TargetMode="Externa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2024-08-08T02:07:00Z</dcterms:created>
  <dc:creator>Administrator</dc:creator>
  <cp:lastModifiedBy>Administrator</cp:lastModifiedBy>
  <dcterms:modified xsi:type="dcterms:W3CDTF">2024-08-08T02:08:16Z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9CD8F4519CC8420CBC7B4A3B61B30632_11</vt:lpwstr>
  </property>
</Properties>
</file>