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_GBK"/>
          <w:snapToGrid w:val="0"/>
          <w:spacing w:val="0"/>
          <w:kern w:val="44"/>
          <w:sz w:val="44"/>
          <w:szCs w:val="44"/>
        </w:rPr>
      </w:pPr>
      <w:r>
        <w:rPr>
          <w:rFonts w:hint="eastAsia" w:eastAsia="方正小标宋_GBK"/>
          <w:snapToGrid w:val="0"/>
          <w:spacing w:val="0"/>
          <w:kern w:val="44"/>
          <w:sz w:val="44"/>
          <w:szCs w:val="44"/>
        </w:rPr>
        <w:t>华中师范大学长寿学校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_GBK"/>
          <w:snapToGrid w:val="0"/>
          <w:spacing w:val="0"/>
          <w:kern w:val="44"/>
          <w:sz w:val="44"/>
          <w:szCs w:val="44"/>
        </w:rPr>
      </w:pPr>
      <w:r>
        <w:rPr>
          <w:rFonts w:hint="eastAsia" w:eastAsia="方正小标宋_GBK"/>
          <w:snapToGrid w:val="0"/>
          <w:spacing w:val="0"/>
          <w:kern w:val="44"/>
          <w:sz w:val="44"/>
          <w:szCs w:val="44"/>
        </w:rPr>
        <w:t>人才引进</w:t>
      </w:r>
      <w:r>
        <w:rPr>
          <w:rFonts w:hint="eastAsia" w:eastAsia="方正小标宋_GBK"/>
          <w:snapToGrid w:val="0"/>
          <w:spacing w:val="0"/>
          <w:kern w:val="44"/>
          <w:sz w:val="44"/>
          <w:szCs w:val="44"/>
          <w:lang w:val="en-US" w:eastAsia="zh-CN"/>
        </w:rPr>
        <w:t>优惠</w:t>
      </w:r>
      <w:r>
        <w:rPr>
          <w:rFonts w:hint="eastAsia" w:eastAsia="方正小标宋_GBK"/>
          <w:snapToGrid w:val="0"/>
          <w:spacing w:val="0"/>
          <w:kern w:val="44"/>
          <w:sz w:val="44"/>
          <w:szCs w:val="44"/>
        </w:rPr>
        <w:t>政策</w:t>
      </w:r>
      <w:bookmarkStart w:id="0" w:name="_GoBack"/>
      <w:bookmarkEnd w:id="0"/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华中师范大学长寿学校引进的优秀教育教学人才，包括以下几类：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eastAsia="方正仿宋_GBK" w:cs="Times New Roman"/>
          <w:snapToGrid w:val="0"/>
          <w:kern w:val="0"/>
          <w:sz w:val="32"/>
          <w:szCs w:val="32"/>
        </w:rPr>
        <w:t>（一）限50周岁及以下：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正高级教师</w:t>
      </w:r>
      <w:r>
        <w:rPr>
          <w:rFonts w:hint="default" w:eastAsia="方正仿宋_GBK" w:cs="Times New Roman"/>
          <w:snapToGrid w:val="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特级教师</w:t>
      </w:r>
      <w:r>
        <w:rPr>
          <w:rFonts w:hint="default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eastAsia="方正仿宋_GBK" w:cs="Times New Roman"/>
          <w:snapToGrid w:val="0"/>
          <w:kern w:val="0"/>
          <w:sz w:val="32"/>
          <w:szCs w:val="32"/>
          <w:lang w:eastAsia="zh-CN"/>
        </w:rPr>
        <w:t>（二）限45周岁及以下：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县级现场赛课一等奖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地区级（直辖市市级）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以上现场赛课二等奖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的教师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地区级（直辖市市级）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以上骨干教师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县级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以上名教师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学科带头人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；教育部直属师范院校取得国家奖学金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的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公费师范生</w:t>
      </w:r>
      <w:r>
        <w:rPr>
          <w:rFonts w:hint="default" w:eastAsia="方正仿宋_GBK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  <w:t>二、优惠政策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  <w:t>安置补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正高级教师、特级教师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每人给予</w:t>
      </w:r>
      <w:r>
        <w:rPr>
          <w:rFonts w:hint="default" w:eastAsia="方正仿宋_GBK" w:cs="Times New Roman"/>
          <w:snapToGrid w:val="0"/>
          <w:kern w:val="0"/>
          <w:sz w:val="32"/>
          <w:szCs w:val="32"/>
        </w:rPr>
        <w:t>50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万元的安置补助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地区级（直辖市市级）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以上名教师、学科带头人、骨干教师，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或获得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地区级（直辖市市级）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以上现场赛课二等奖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的教师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每人给予20万元的安置补助；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县级名教师、学科带头人，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或获得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县级现场赛课一等奖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以上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的教师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每人给予15万元的安置补助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4.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教育部直属师范院校取得国家奖学金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的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公费师范生，</w:t>
      </w:r>
      <w:r>
        <w:rPr>
          <w:rFonts w:hint="eastAsia" w:eastAsia="方正仿宋_GBK"/>
          <w:snapToGrid w:val="0"/>
          <w:kern w:val="0"/>
          <w:sz w:val="32"/>
          <w:szCs w:val="32"/>
        </w:rPr>
        <w:t>每人给予5万元的安置补助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安置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补助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按照“就高不就低”“不累计计算”的原则，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分三年发放（第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年40％，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第2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第3年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各30％）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  <w:t>租房补贴和购房补贴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引进人才可免费入住人才公寓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未入住人才公寓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者，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可提供1000元/月的租房补贴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引进人才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年内购买区内（在长寿区不动产登记中心取得产权登记证明）首套住房且用于本人居住</w:t>
      </w:r>
      <w:r>
        <w:rPr>
          <w:rFonts w:hint="eastAsia" w:eastAsia="方正仿宋_GBK" w:cs="Times New Roman"/>
          <w:snapToGrid w:val="0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，按照不超过购房总额的10％给予一次性购房补贴，最高不超过30万元。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  <w:t>人才引进和人才聘用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/>
          <w:snapToGrid w:val="0"/>
          <w:kern w:val="0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eastAsia="方正仿宋_GBK"/>
          <w:snapToGrid w:val="0"/>
          <w:kern w:val="0"/>
          <w:sz w:val="32"/>
          <w:szCs w:val="32"/>
        </w:rPr>
        <w:t>对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适用范围</w:t>
      </w:r>
      <w:r>
        <w:rPr>
          <w:rFonts w:hint="eastAsia" w:eastAsia="方正仿宋_GBK"/>
          <w:snapToGrid w:val="0"/>
          <w:kern w:val="0"/>
          <w:sz w:val="32"/>
          <w:szCs w:val="32"/>
        </w:rPr>
        <w:t>的人才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除公开（考核）招聘（遴选）方式外，</w:t>
      </w:r>
      <w:r>
        <w:rPr>
          <w:rFonts w:hint="eastAsia" w:eastAsia="方正仿宋_GBK"/>
          <w:snapToGrid w:val="0"/>
          <w:kern w:val="0"/>
          <w:sz w:val="32"/>
          <w:szCs w:val="32"/>
        </w:rPr>
        <w:t>增加自主考核引进和直接调动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等2种</w:t>
      </w:r>
      <w:r>
        <w:rPr>
          <w:rFonts w:hint="eastAsia" w:eastAsia="方正仿宋_GBK"/>
          <w:snapToGrid w:val="0"/>
          <w:kern w:val="0"/>
          <w:sz w:val="32"/>
          <w:szCs w:val="32"/>
        </w:rPr>
        <w:t>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/>
          <w:snapToGrid w:val="0"/>
          <w:kern w:val="0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eastAsia="方正仿宋_GBK"/>
          <w:snapToGrid w:val="0"/>
          <w:kern w:val="0"/>
          <w:sz w:val="32"/>
          <w:szCs w:val="32"/>
        </w:rPr>
        <w:t>引进到华中师范大学长寿学校的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在编在岗</w:t>
      </w:r>
      <w:r>
        <w:rPr>
          <w:rFonts w:hint="eastAsia" w:eastAsia="方正仿宋_GBK"/>
          <w:snapToGrid w:val="0"/>
          <w:kern w:val="0"/>
          <w:sz w:val="32"/>
          <w:szCs w:val="32"/>
        </w:rPr>
        <w:t>专业技术人才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若需在原事业单位</w:t>
      </w:r>
      <w:r>
        <w:rPr>
          <w:rFonts w:hint="eastAsia" w:eastAsia="方正仿宋_GBK"/>
          <w:snapToGrid w:val="0"/>
          <w:kern w:val="0"/>
          <w:sz w:val="32"/>
          <w:szCs w:val="32"/>
        </w:rPr>
        <w:t>辞职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后再办理入职</w:t>
      </w:r>
      <w:r>
        <w:rPr>
          <w:rFonts w:hint="eastAsia" w:eastAsia="方正仿宋_GBK"/>
          <w:snapToGrid w:val="0"/>
          <w:kern w:val="0"/>
          <w:sz w:val="32"/>
          <w:szCs w:val="32"/>
        </w:rPr>
        <w:t>的，可在一定时间内根据本人要求和政策规定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/>
          <w:snapToGrid w:val="0"/>
          <w:kern w:val="0"/>
          <w:sz w:val="32"/>
          <w:szCs w:val="32"/>
        </w:rPr>
        <w:t>聘用为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华中师范大学长寿</w:t>
      </w:r>
      <w:r>
        <w:rPr>
          <w:rFonts w:hint="eastAsia" w:eastAsia="方正仿宋_GBK"/>
          <w:snapToGrid w:val="0"/>
          <w:kern w:val="0"/>
          <w:sz w:val="32"/>
          <w:szCs w:val="32"/>
        </w:rPr>
        <w:t>学校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在编在岗专业技术</w:t>
      </w:r>
      <w:r>
        <w:rPr>
          <w:rFonts w:hint="eastAsia" w:eastAsia="方正仿宋_GBK"/>
          <w:snapToGrid w:val="0"/>
          <w:kern w:val="0"/>
          <w:sz w:val="32"/>
          <w:szCs w:val="32"/>
        </w:rPr>
        <w:t>人员，工龄按规定计算认定。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</w:rPr>
        <w:t>特别优秀人才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napToGrid w:val="0"/>
          <w:kern w:val="0"/>
          <w:sz w:val="32"/>
          <w:szCs w:val="32"/>
        </w:rPr>
        <w:t>可实行一事一议制。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ZWQ5NzFmYmJhNWY5ODU4YTUxYTlhMTM2MDFhZGYifQ=="/>
    <w:docVar w:name="KSO_WPS_MARK_KEY" w:val="9d17231a-b8c8-485c-a3b3-3fbf4a8379f9"/>
  </w:docVars>
  <w:rsids>
    <w:rsidRoot w:val="460D6AA3"/>
    <w:rsid w:val="460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2024-04-29T06:32:00Z</dcterms:created>
  <dc:creator>Administrator</dc:creator>
  <cp:lastModifiedBy>Administrator</cp:lastModifiedBy>
  <dcterms:modified xsi:type="dcterms:W3CDTF">2024-04-29T06:47:45Z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9956CEEC30124E419444B089852962FD_11</vt:lpwstr>
  </property>
</Properties>
</file>