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32"/>
          <w:szCs w:val="32"/>
        </w:rPr>
      </w:pPr>
      <w:r>
        <w:rPr>
          <w:rFonts w:hint="eastAsia" w:ascii="黑体" w:hAnsi="黑体" w:eastAsia="黑体" w:cs="黑体"/>
          <w:sz w:val="32"/>
          <w:szCs w:val="32"/>
        </w:rPr>
        <w:t>附件4</w:t>
      </w:r>
    </w:p>
    <w:p>
      <w:pPr>
        <w:spacing w:line="500" w:lineRule="exact"/>
        <w:jc w:val="left"/>
        <w:rPr>
          <w:rFonts w:hint="eastAsia" w:ascii="方正小标宋简体" w:hAnsi="华文中宋" w:eastAsia="方正小标宋简体"/>
          <w:sz w:val="40"/>
          <w:szCs w:val="40"/>
        </w:rPr>
      </w:pPr>
    </w:p>
    <w:p>
      <w:pPr>
        <w:spacing w:line="500" w:lineRule="exact"/>
        <w:jc w:val="center"/>
        <w:rPr>
          <w:rFonts w:hint="eastAsia" w:ascii="方正小标宋简体" w:hAnsi="华文中宋" w:eastAsia="方正小标宋简体"/>
          <w:sz w:val="40"/>
          <w:szCs w:val="40"/>
        </w:rPr>
      </w:pPr>
      <w:r>
        <w:rPr>
          <w:rFonts w:hint="eastAsia" w:ascii="方正小标宋简体" w:hAnsi="华文中宋" w:eastAsia="方正小标宋简体"/>
          <w:sz w:val="40"/>
          <w:szCs w:val="40"/>
        </w:rPr>
        <w:t>考核量化计分办法</w:t>
      </w:r>
    </w:p>
    <w:p>
      <w:pPr>
        <w:spacing w:line="100" w:lineRule="exact"/>
        <w:rPr>
          <w:rFonts w:hint="eastAsia" w:ascii="黑体" w:hAnsi="宋体" w:eastAsia="黑体"/>
          <w:sz w:val="28"/>
          <w:szCs w:val="28"/>
        </w:rPr>
      </w:pPr>
    </w:p>
    <w:p>
      <w:pPr>
        <w:spacing w:line="100" w:lineRule="exact"/>
        <w:rPr>
          <w:rFonts w:hint="eastAsia" w:ascii="黑体" w:hAnsi="宋体" w:eastAsia="黑体"/>
          <w:sz w:val="28"/>
          <w:szCs w:val="28"/>
        </w:rPr>
      </w:pPr>
    </w:p>
    <w:p>
      <w:pPr>
        <w:spacing w:line="540" w:lineRule="exact"/>
        <w:ind w:firstLine="560" w:firstLineChars="200"/>
        <w:rPr>
          <w:rFonts w:hint="eastAsia" w:ascii="黑体" w:hAnsi="宋体" w:eastAsia="黑体"/>
          <w:sz w:val="28"/>
          <w:szCs w:val="28"/>
        </w:rPr>
      </w:pPr>
      <w:r>
        <w:rPr>
          <w:rFonts w:hint="eastAsia" w:ascii="黑体" w:hAnsi="宋体" w:eastAsia="黑体"/>
          <w:sz w:val="28"/>
          <w:szCs w:val="28"/>
        </w:rPr>
        <w:t>一、资格量化（30分）</w:t>
      </w:r>
    </w:p>
    <w:p>
      <w:pPr>
        <w:spacing w:line="540" w:lineRule="exact"/>
        <w:ind w:firstLine="528" w:firstLineChars="200"/>
        <w:rPr>
          <w:rFonts w:hint="eastAsia" w:ascii="仿宋_GB2312" w:hAnsi="宋体" w:eastAsia="仿宋_GB2312"/>
          <w:spacing w:val="-8"/>
          <w:sz w:val="28"/>
          <w:szCs w:val="28"/>
        </w:rPr>
      </w:pPr>
      <w:r>
        <w:rPr>
          <w:rFonts w:hint="eastAsia" w:ascii="仿宋_GB2312" w:hAnsi="宋体" w:eastAsia="仿宋_GB2312"/>
          <w:spacing w:val="-8"/>
          <w:sz w:val="28"/>
          <w:szCs w:val="28"/>
        </w:rPr>
        <w:t>1.学历分（5分）：博士、硕士学位研究生5分、双本科或双学位4分，本科3分。</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2.专业技术职务分（5分）：正高级教师5分，高级教师4分，一级教师3分，二级教师2分。</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3.骨干分（15分）：</w:t>
      </w:r>
    </w:p>
    <w:tbl>
      <w:tblPr>
        <w:tblStyle w:val="2"/>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786"/>
        <w:gridCol w:w="278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819"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类别</w:t>
            </w:r>
          </w:p>
        </w:tc>
        <w:tc>
          <w:tcPr>
            <w:tcW w:w="2786"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市级“三坛”及以上、</w:t>
            </w:r>
          </w:p>
          <w:p>
            <w:pPr>
              <w:spacing w:line="340" w:lineRule="exact"/>
              <w:jc w:val="center"/>
              <w:rPr>
                <w:rFonts w:hint="eastAsia" w:ascii="仿宋_GB2312" w:hAnsi="宋体" w:eastAsia="仿宋_GB2312"/>
                <w:sz w:val="24"/>
              </w:rPr>
            </w:pPr>
            <w:r>
              <w:rPr>
                <w:rFonts w:hint="eastAsia" w:ascii="仿宋_GB2312" w:hAnsi="宋体" w:eastAsia="仿宋_GB2312"/>
                <w:sz w:val="24"/>
              </w:rPr>
              <w:t>县级“三名”</w:t>
            </w:r>
          </w:p>
        </w:tc>
        <w:tc>
          <w:tcPr>
            <w:tcW w:w="2787"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县级“三坛”、</w:t>
            </w:r>
          </w:p>
          <w:p>
            <w:pPr>
              <w:spacing w:line="340" w:lineRule="exact"/>
              <w:jc w:val="center"/>
              <w:rPr>
                <w:rFonts w:hint="eastAsia" w:ascii="仿宋_GB2312" w:hAnsi="宋体" w:eastAsia="仿宋_GB2312"/>
                <w:sz w:val="24"/>
              </w:rPr>
            </w:pPr>
            <w:r>
              <w:rPr>
                <w:rFonts w:hint="eastAsia" w:ascii="仿宋_GB2312" w:hAnsi="宋体" w:eastAsia="仿宋_GB2312"/>
                <w:sz w:val="24"/>
              </w:rPr>
              <w:t>市级骨干</w:t>
            </w:r>
          </w:p>
        </w:tc>
        <w:tc>
          <w:tcPr>
            <w:tcW w:w="2787"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县级学科骨干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19"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分值</w:t>
            </w:r>
          </w:p>
        </w:tc>
        <w:tc>
          <w:tcPr>
            <w:tcW w:w="2786"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15</w:t>
            </w:r>
          </w:p>
        </w:tc>
        <w:tc>
          <w:tcPr>
            <w:tcW w:w="2787"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10</w:t>
            </w:r>
          </w:p>
        </w:tc>
        <w:tc>
          <w:tcPr>
            <w:tcW w:w="2787" w:type="dxa"/>
            <w:noWrap w:val="0"/>
            <w:vAlign w:val="center"/>
          </w:tcPr>
          <w:p>
            <w:pPr>
              <w:spacing w:line="340" w:lineRule="exact"/>
              <w:jc w:val="center"/>
              <w:rPr>
                <w:rFonts w:hint="eastAsia" w:ascii="仿宋_GB2312" w:hAnsi="宋体" w:eastAsia="仿宋_GB2312"/>
                <w:sz w:val="24"/>
              </w:rPr>
            </w:pPr>
            <w:r>
              <w:rPr>
                <w:rFonts w:hint="eastAsia" w:ascii="仿宋_GB2312" w:hAnsi="宋体" w:eastAsia="仿宋_GB2312"/>
                <w:sz w:val="24"/>
              </w:rPr>
              <w:t>5</w:t>
            </w:r>
          </w:p>
        </w:tc>
      </w:tr>
    </w:tbl>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有多项骨干荣誉的，取最高档次计分一次。外地骨干教师序列与我市不一样的参照执行。</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4.教龄分(5分)：成为在编教师后（含试用期），任教满3年计1分，以后每增加一年加0.5分，最高累计分不超过5分。</w:t>
      </w:r>
    </w:p>
    <w:p>
      <w:pPr>
        <w:spacing w:line="540" w:lineRule="exact"/>
        <w:ind w:firstLine="560" w:firstLineChars="200"/>
        <w:rPr>
          <w:rFonts w:hint="eastAsia" w:ascii="黑体" w:hAnsi="宋体" w:eastAsia="黑体"/>
          <w:sz w:val="28"/>
          <w:szCs w:val="28"/>
        </w:rPr>
      </w:pPr>
      <w:r>
        <w:rPr>
          <w:rFonts w:hint="eastAsia" w:ascii="黑体" w:hAnsi="宋体" w:eastAsia="黑体"/>
          <w:sz w:val="28"/>
          <w:szCs w:val="28"/>
        </w:rPr>
        <w:t>二、业务考核（70分）</w:t>
      </w:r>
    </w:p>
    <w:p>
      <w:pPr>
        <w:spacing w:line="54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业</w:t>
      </w:r>
      <w:r>
        <w:rPr>
          <w:rFonts w:hint="eastAsia" w:ascii="仿宋_GB2312" w:hAnsi="宋体" w:eastAsia="仿宋_GB2312"/>
          <w:sz w:val="28"/>
          <w:szCs w:val="28"/>
          <w:highlight w:val="none"/>
        </w:rPr>
        <w:t>务考核采用模拟上课的</w:t>
      </w:r>
      <w:r>
        <w:rPr>
          <w:rFonts w:hint="eastAsia" w:ascii="仿宋_GB2312" w:hAnsi="宋体" w:eastAsia="仿宋_GB2312"/>
          <w:sz w:val="28"/>
          <w:szCs w:val="28"/>
        </w:rPr>
        <w:t>形式进行试课，按百分制计分，最后按70%比例折算到考试总成绩。</w:t>
      </w:r>
    </w:p>
    <w:p>
      <w:pPr>
        <w:spacing w:line="540" w:lineRule="exact"/>
        <w:ind w:firstLine="560" w:firstLineChars="200"/>
        <w:rPr>
          <w:rFonts w:hint="eastAsia" w:ascii="黑体" w:hAnsi="宋体" w:eastAsia="黑体"/>
          <w:sz w:val="28"/>
          <w:szCs w:val="28"/>
        </w:rPr>
      </w:pPr>
      <w:r>
        <w:rPr>
          <w:rFonts w:hint="eastAsia" w:ascii="黑体" w:hAnsi="宋体" w:eastAsia="黑体"/>
          <w:sz w:val="28"/>
          <w:szCs w:val="28"/>
        </w:rPr>
        <w:t>三、本办法仅适用于本次选调。未尽事宜，由瑞安市教育局会同瑞安市人力资源和社会保障局研究确定并负责解释。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0MDMzNzM5OTNhOTBjNWI0Y2I3ZDU4OTZmNWFmMTAifQ=="/>
  </w:docVars>
  <w:rsids>
    <w:rsidRoot w:val="575F4E9D"/>
    <w:rsid w:val="575F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2024-03-21T02:10:00Z</dcterms:created>
  <dc:creator>小万19967457850</dc:creator>
  <cp:lastModifiedBy>小万19967457850</cp:lastModifiedBy>
  <dcterms:modified xsi:type="dcterms:W3CDTF">2024-03-21T02:10:51Z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2D2FE650D79D46A287FA93A92CCD3F6E_11</vt:lpwstr>
  </property>
</Properties>
</file>