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附件1</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莆田市市直教育系统公开招聘新任工作人员</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聘  用  考  察  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19"/>
        <w:gridCol w:w="608"/>
        <w:gridCol w:w="319"/>
        <w:gridCol w:w="267"/>
        <w:gridCol w:w="509"/>
        <w:gridCol w:w="945"/>
        <w:gridCol w:w="1457"/>
        <w:gridCol w:w="375"/>
        <w:gridCol w:w="620"/>
        <w:gridCol w:w="885"/>
        <w:gridCol w:w="16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112" w:type="dxa"/>
            <w:tcBorders>
              <w:top w:val="single" w:color="auto" w:sz="12"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ascii="仿宋_GB2312" w:hAnsi="Times New Roman" w:eastAsia="仿宋_GB2312" w:cs="仿宋_GB2312"/>
                <w:i w:val="0"/>
                <w:iCs w:val="0"/>
                <w:caps w:val="0"/>
                <w:color w:val="333333"/>
                <w:spacing w:val="0"/>
                <w:kern w:val="0"/>
                <w:sz w:val="28"/>
                <w:szCs w:val="28"/>
                <w:lang w:val="en-US" w:eastAsia="zh-CN" w:bidi="ar"/>
              </w:rPr>
              <w:t>姓名</w:t>
            </w:r>
          </w:p>
        </w:tc>
        <w:tc>
          <w:tcPr>
            <w:tcW w:w="1911" w:type="dxa"/>
            <w:gridSpan w:val="4"/>
            <w:tcBorders>
              <w:top w:val="single" w:color="auto" w:sz="12"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945" w:type="dxa"/>
            <w:tcBorders>
              <w:top w:val="single" w:color="auto" w:sz="12"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性别</w:t>
            </w:r>
          </w:p>
        </w:tc>
        <w:tc>
          <w:tcPr>
            <w:tcW w:w="1615" w:type="dxa"/>
            <w:tcBorders>
              <w:top w:val="single" w:color="auto" w:sz="12"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995" w:type="dxa"/>
            <w:gridSpan w:val="2"/>
            <w:tcBorders>
              <w:top w:val="single" w:color="auto" w:sz="12"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籍贯</w:t>
            </w:r>
          </w:p>
        </w:tc>
        <w:tc>
          <w:tcPr>
            <w:tcW w:w="2695" w:type="dxa"/>
            <w:gridSpan w:val="2"/>
            <w:tcBorders>
              <w:top w:val="single" w:color="auto" w:sz="12" w:space="0"/>
              <w:left w:val="single" w:color="auto" w:sz="8" w:space="0"/>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75" w:hRule="atLeast"/>
        </w:trPr>
        <w:tc>
          <w:tcPr>
            <w:tcW w:w="1112" w:type="dxa"/>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出生</w:t>
            </w:r>
          </w:p>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年月</w:t>
            </w:r>
          </w:p>
        </w:tc>
        <w:tc>
          <w:tcPr>
            <w:tcW w:w="1911"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9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政治</w:t>
            </w:r>
          </w:p>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面貌</w:t>
            </w:r>
          </w:p>
        </w:tc>
        <w:tc>
          <w:tcPr>
            <w:tcW w:w="16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99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最高学历</w:t>
            </w:r>
          </w:p>
        </w:tc>
        <w:tc>
          <w:tcPr>
            <w:tcW w:w="2695" w:type="dxa"/>
            <w:gridSpan w:val="2"/>
            <w:tcBorders>
              <w:top w:val="single" w:color="auto" w:sz="8"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95" w:hRule="atLeast"/>
        </w:trPr>
        <w:tc>
          <w:tcPr>
            <w:tcW w:w="2153" w:type="dxa"/>
            <w:gridSpan w:val="3"/>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第一学历毕业院校及专业</w:t>
            </w:r>
          </w:p>
        </w:tc>
        <w:tc>
          <w:tcPr>
            <w:tcW w:w="4425"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8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毕业时间</w:t>
            </w:r>
          </w:p>
        </w:tc>
        <w:tc>
          <w:tcPr>
            <w:tcW w:w="1810" w:type="dxa"/>
            <w:tcBorders>
              <w:top w:val="single" w:color="auto" w:sz="8"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25" w:hRule="atLeast"/>
        </w:trPr>
        <w:tc>
          <w:tcPr>
            <w:tcW w:w="2153" w:type="dxa"/>
            <w:gridSpan w:val="3"/>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现学历毕业院校及专业</w:t>
            </w:r>
          </w:p>
        </w:tc>
        <w:tc>
          <w:tcPr>
            <w:tcW w:w="4425"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8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毕业时间</w:t>
            </w:r>
          </w:p>
        </w:tc>
        <w:tc>
          <w:tcPr>
            <w:tcW w:w="1810" w:type="dxa"/>
            <w:tcBorders>
              <w:top w:val="single" w:color="auto" w:sz="8"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4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trPr>
        <w:tc>
          <w:tcPr>
            <w:tcW w:w="1795" w:type="dxa"/>
            <w:gridSpan w:val="2"/>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身份证号</w:t>
            </w:r>
          </w:p>
        </w:tc>
        <w:tc>
          <w:tcPr>
            <w:tcW w:w="4163"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c>
          <w:tcPr>
            <w:tcW w:w="150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联系手机</w:t>
            </w:r>
          </w:p>
        </w:tc>
        <w:tc>
          <w:tcPr>
            <w:tcW w:w="1810" w:type="dxa"/>
            <w:tcBorders>
              <w:top w:val="single" w:color="auto" w:sz="8"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trPr>
        <w:tc>
          <w:tcPr>
            <w:tcW w:w="2452" w:type="dxa"/>
            <w:gridSpan w:val="4"/>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应聘单位及岗位</w:t>
            </w:r>
          </w:p>
        </w:tc>
        <w:tc>
          <w:tcPr>
            <w:tcW w:w="6821" w:type="dxa"/>
            <w:gridSpan w:val="7"/>
            <w:tcBorders>
              <w:top w:val="single" w:color="auto" w:sz="8"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05" w:hRule="atLeast"/>
        </w:trPr>
        <w:tc>
          <w:tcPr>
            <w:tcW w:w="1112" w:type="dxa"/>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公安</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部门</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意见</w:t>
            </w:r>
          </w:p>
        </w:tc>
        <w:tc>
          <w:tcPr>
            <w:tcW w:w="8161" w:type="dxa"/>
            <w:gridSpan w:val="10"/>
            <w:tcBorders>
              <w:top w:val="single" w:color="auto" w:sz="8" w:space="0"/>
              <w:left w:val="single" w:color="auto" w:sz="8" w:space="0"/>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审核人（签名）：</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单位（盖章）：                        </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095" w:hRule="atLeast"/>
        </w:trPr>
        <w:tc>
          <w:tcPr>
            <w:tcW w:w="1112"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档案</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审查</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意见</w:t>
            </w:r>
          </w:p>
        </w:tc>
        <w:tc>
          <w:tcPr>
            <w:tcW w:w="8161" w:type="dxa"/>
            <w:gridSpan w:val="10"/>
            <w:tcBorders>
              <w:top w:val="nil"/>
              <w:left w:val="single" w:color="auto" w:sz="8" w:space="0"/>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审核人（签名）：</w:t>
            </w:r>
          </w:p>
          <w:p>
            <w:pPr>
              <w:keepNext w:val="0"/>
              <w:keepLines w:val="0"/>
              <w:widowControl/>
              <w:suppressLineNumbers w:val="0"/>
              <w:spacing w:before="0" w:beforeAutospacing="0" w:after="0" w:afterAutospacing="0" w:line="52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w:t>
            </w:r>
          </w:p>
          <w:p>
            <w:pPr>
              <w:keepNext w:val="0"/>
              <w:keepLines w:val="0"/>
              <w:widowControl/>
              <w:suppressLineNumbers w:val="0"/>
              <w:spacing w:before="0" w:beforeAutospacing="0" w:after="0" w:afterAutospacing="0" w:line="520" w:lineRule="atLeast"/>
              <w:ind w:left="0" w:right="0" w:firstLine="392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28"/>
                <w:szCs w:val="28"/>
                <w:lang w:val="en-US" w:eastAsia="zh-CN" w:bidi="ar"/>
              </w:rPr>
              <w:t>            年   月   日</w:t>
            </w:r>
          </w:p>
        </w:tc>
      </w:tr>
    </w:tbl>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ascii="楷体_GB2312" w:hAnsi="Times New Roman" w:eastAsia="楷体_GB2312" w:cs="楷体_GB2312"/>
          <w:b/>
          <w:bCs/>
          <w:i w:val="0"/>
          <w:iCs w:val="0"/>
          <w:caps w:val="0"/>
          <w:color w:val="333333"/>
          <w:spacing w:val="-12"/>
          <w:kern w:val="0"/>
          <w:sz w:val="28"/>
          <w:szCs w:val="28"/>
          <w:shd w:val="clear" w:fill="FFFFFF"/>
          <w:lang w:val="en-US" w:eastAsia="zh-CN" w:bidi="ar"/>
        </w:rPr>
        <w:t>注：公安部门意见由户籍所在公安部门签署，档案审查意见由莆田市教育局组织相关人员审查签署 。</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附件2</w:t>
      </w:r>
    </w:p>
    <w:p>
      <w:pPr>
        <w:keepNext w:val="0"/>
        <w:keepLines w:val="0"/>
        <w:widowControl/>
        <w:suppressLineNumbers w:val="0"/>
        <w:shd w:val="clear" w:fill="FFFFFF"/>
        <w:spacing w:before="0" w:beforeAutospacing="0" w:after="0" w:afterAutospacing="0" w:line="70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11"/>
          <w:kern w:val="0"/>
          <w:sz w:val="44"/>
          <w:szCs w:val="44"/>
          <w:shd w:val="clear" w:fill="FFFFFF"/>
          <w:lang w:val="en-US" w:eastAsia="zh-CN" w:bidi="ar"/>
        </w:rPr>
        <w:t>福建省机关事业单位招考专业指导目录（2023年）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227" w:firstLine="64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11"/>
          <w:kern w:val="0"/>
          <w:sz w:val="44"/>
          <w:szCs w:val="44"/>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11"/>
          <w:kern w:val="0"/>
          <w:sz w:val="44"/>
          <w:szCs w:val="44"/>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11"/>
          <w:kern w:val="0"/>
          <w:sz w:val="44"/>
          <w:szCs w:val="44"/>
          <w:shd w:val="clear" w:fill="FFFFFF"/>
          <w:lang w:val="en-US" w:eastAsia="zh-CN" w:bidi="ar"/>
        </w:rPr>
        <w:t> </w:t>
      </w:r>
    </w:p>
    <w:p>
      <w:pPr>
        <w:pStyle w:val="2"/>
        <w:keepNext w:val="0"/>
        <w:keepLines w:val="0"/>
        <w:widowControl/>
        <w:suppressLineNumbers w:val="0"/>
        <w:shd w:val="clear" w:fill="FFFFFF"/>
        <w:spacing w:before="0" w:beforeAutospacing="0" w:after="0" w:afterAutospacing="0"/>
        <w:ind w:left="0" w:right="0" w:firstLine="540"/>
        <w:jc w:val="both"/>
        <w:rPr>
          <w:rFonts w:hint="default" w:ascii="仿宋_GB2312" w:eastAsia="仿宋_GB2312" w:cs="仿宋_GB2312"/>
          <w:i w:val="0"/>
          <w:iCs w:val="0"/>
          <w:caps w:val="0"/>
          <w:color w:val="333333"/>
          <w:spacing w:val="0"/>
          <w:sz w:val="30"/>
          <w:szCs w:val="30"/>
        </w:rPr>
      </w:pPr>
      <w:r>
        <w:rPr>
          <w:rFonts w:hint="default" w:ascii="方正小标宋简体" w:hAnsi="方正小标宋简体" w:eastAsia="方正小标宋简体" w:cs="方正小标宋简体"/>
          <w:i w:val="0"/>
          <w:iCs w:val="0"/>
          <w:caps w:val="0"/>
          <w:color w:val="333333"/>
          <w:spacing w:val="-11"/>
          <w:sz w:val="44"/>
          <w:szCs w:val="44"/>
          <w:shd w:val="clear" w:fill="FFFFFF"/>
        </w:rPr>
        <w:t> </w:t>
      </w:r>
    </w:p>
    <w:p>
      <w:pPr>
        <w:keepNext w:val="0"/>
        <w:keepLines w:val="0"/>
        <w:widowControl/>
        <w:suppressLineNumbers w:val="0"/>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附件3</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关于转发&lt;事业单位公开招聘人员暂行规定&gt;的通知</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闽人发〔2006〕10号</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各设区市人事局、省直各单位、中央在闽单位：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现将《事业单位公开招聘人员暂行规定》（中华人民共和国人事部第6号令）转发给你们，并结合我省实际，就有关问题提出如下贯彻意见，请一并按照执行。</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二、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三、为了充分体现对退役运动员、退役士兵所做贡献的肯定和激励，各部门和单位在招聘工作人员时，应对退役运动员和退役士兵予以适当照顾：</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（一）对有突出贡献（指获得奥运会前六名、世锦赛世界杯前三名、亚洲体育三大比赛冠军、全运会冠军）的运动员和荣立一等功的退役士兵，事业单位可采取考核方式予以接收聘用。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二）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（三）退役运动员、退役士兵参加事业单位面向社会公开招聘工作人员考试，享有笔试成绩加分待遇，加分不受笔试满分限制，具体加分标准如下:</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以上各项加分可以累计，但最高不得超过10分。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四、从2006年1月开始，事业单位以考核方式补充工作人员统一填报《福建省事业单位补充工作人员登记表》一式三份，并凭省人事行政部门签章的《福建省事业单位补充工作人员登记表》办理有关人事关系接转手续。</w:t>
      </w:r>
    </w:p>
    <w:p>
      <w:pPr>
        <w:keepNext w:val="0"/>
        <w:keepLines w:val="0"/>
        <w:widowControl/>
        <w:suppressLineNumbers w:val="0"/>
        <w:shd w:val="clear" w:fill="FFFFFF"/>
        <w:spacing w:before="0" w:beforeAutospacing="0" w:after="0" w:afterAutospacing="0" w:line="520" w:lineRule="atLeast"/>
        <w:ind w:left="0" w:right="0" w:firstLine="63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五、委托我厅进行人事管理的中央在闽单位，应按国家人事部《事业单位公开招聘人员暂行规定》（中华人民共和国人事部第6号令）补充工作人员。</w:t>
      </w:r>
    </w:p>
    <w:p>
      <w:pPr>
        <w:keepNext w:val="0"/>
        <w:keepLines w:val="0"/>
        <w:widowControl/>
        <w:suppressLineNumbers w:val="0"/>
        <w:shd w:val="clear" w:fill="FFFFFF"/>
        <w:spacing w:before="0" w:beforeAutospacing="0" w:after="0" w:afterAutospacing="0" w:line="520" w:lineRule="atLeast"/>
        <w:ind w:left="0" w:right="0" w:firstLine="63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附：1、事业单位公开招聘人员暂行规定</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2、福建省事业单位补充工作人员登记表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0"/>
        <w:jc w:val="righ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二○○六年一月十七日</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kern w:val="0"/>
          <w:sz w:val="44"/>
          <w:szCs w:val="44"/>
          <w:shd w:val="clear" w:fill="FFFFFF"/>
          <w:lang w:val="en-US" w:eastAsia="zh-CN" w:bidi="ar"/>
        </w:rPr>
        <w:t> </w:t>
      </w: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中华人民共和国人事部令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第6号</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《事业单位公开招聘人员暂行规定》已经人事部部务会议审议通过，现予发布，自2006年1月1日起执行。</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人 事 部 部 长 张柏林</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二○○五年十一月十六日</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1760"/>
        <w:jc w:val="left"/>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32"/>
          <w:szCs w:val="32"/>
          <w:shd w:val="clear" w:fill="FFFFFF"/>
          <w:lang w:val="en-US" w:eastAsia="zh-CN" w:bidi="ar"/>
        </w:rPr>
        <w:t> </w:t>
      </w: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事业单位公开招聘人员暂行规定</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28"/>
          <w:szCs w:val="28"/>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第一章 总 则</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第一条 为实现事业单位人事管理的科学化、制度化和规范化，规范事业单位招聘行为，提高人员素质，制定本规定。</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第二条 事业单位招聘专业技术人员、管理人员和工勤人员，适用本规定。参照公务员制度进行管理和转为企业的事业单位除外。</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事业单位新进人员除国家政策性安置、按干部人事管理权限由上级任命及涉密岗位等确需使用其他方法选拔任用人员外，都要实行公开招聘。</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第三条 公开招聘要坚持德才兼备的用人标准，贯彻公开、平等、竞争、择优的原则。</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第四条 公开招聘要坚持政府宏观管理与落实单位用人自主权相结合，统一规范、分类指导、分级管理。</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第五条 公开招聘由用人单位根据招聘岗位的任职条件及要求，采取考试、考核的方法进行。</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第六条 政府人事行政部门是政府所属事业单位进行公开招聘工作的主管机关。政府人事行政部门与事业单位的上级主管部门负责对事业单位公开招聘工作进行指导、监督和管理。</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第七条 事业单位可以成立由本单位人事部门、纪检监察部门、职工代表及有关专家组成的招聘工作组织，负责招聘工作的具体实施。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第二章 招聘范围、条件及程序</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第八条 事业单位招聘人员应当面向社会，凡符合条件的各类人员均可报名应聘。</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第九条 应聘人员必须具备下列条件：</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（一）具有中华人民共和国国籍；</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（二）遵守宪法和法律；</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（三）具有良好的品行；</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（四）岗位所需的专业或技能条件；</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（五）适应岗位要求的身体条件；</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（六）岗位所需要的其他条件。</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第十条 事业单位公开招聘人员，不得设置歧视性条件要求。</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第十一条 公开招聘应按下列程序进行：</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（一）制定招聘计划；</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（二）发布招聘信息；</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（三）受理应聘人员的申请，对资格条件进行审查；</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（四）考试、考核；</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（五）身体检查；</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（六）根据考试、考核结果，确定拟聘人员；</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（七）公示招聘结果；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（八）签订聘用合同，办理聘用手续。</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第三章 招聘计划、信息发布与资格审查</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第十二条 招聘计划由用人单位负责编制，主要包括以下内容：招聘的岗位及条件、招聘的时间、招聘人员的数量、采用的招聘方式等。</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第十三条 国务院直属事业单位的年度招聘计划须报人事部备案；国务院各部委直属事业单位的招聘计划须报上级主管部门核准并报人事部备案。</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各省、自治区、直辖市人民政府直属事业单位的招聘计划须报省（区、市）政府人事行政部门备案；各省、自治区、直辖市政府部门直属事业单位的招聘计划须报上级主管部门核准并报同级政府人事行政部门备案。</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地（市）、县（市）人民政府所属事业单位的招聘计划须报地区或设区的市政府人事行政部门核准。</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第十四条 事业单位招聘人员应当公开发布招聘信息，招聘信息应当载明用人单位情况简介、招聘的岗位、招聘人员数量及待遇；应聘人员条件；招聘办法；考试、考核的时间（时限）、内容、范围；报名方法等需要说明的事项。</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第十五条 用人单位或组织招聘的部门应对应聘人员的资格条件进行审查，确定符合条件的人员。</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第四章 考试与考核</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第十六条 考试内容应为招聘岗位所必需的专业知识、业务能力和工作技能。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第十七条 考试科目与方式根据行业、专业及岗位特点确定。</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第十八条 考试可采取笔试、面试等多种方式。</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对于应聘工勤岗位的人员，可根据需要重点进行实际操作能力测试。</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第十九条 考试由事业单位自行组织，也可以由政府人事行政部门、事业单位上级主管部门统一组织。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政府人事行政部门所属考试服务机构和人才服务机构可受事业单位、政府人事行政部门或事业单位上级主管部门委托，为事业单位公开招聘人员提供服务。</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第二十条 急需引进的高层次、短缺专业人才，具有高级专业技术职务或博士学位的人员，可以采取直接考核的方式招聘。</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第二十一条 对通过考试的应聘人员，用人单位应组织对其思想政治表现、道德品质、业务能力、工作实绩等情况进行考核，并对应聘人员资格条件进行复查。</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第五章 聘 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第二十二条 经用人单位负责人员集体研究，按照考试和考核结果择优确定拟聘人员。</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第二十三条 对拟聘人员应在适当范围进行公示，公示期一般为7至15日。</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第二十四条 用人单位与拟聘人员签订聘用合同前，按照干部人事管理权限的规定报批或备案。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第二十五条 用人单位法定代表人或者其委托人与受聘人员签订聘用合同，确立人事关系。</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第二十六条 事业单位公开招聘的人员按规定实行试用期制度。试用期包括在聘用合同期限内。</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试用期满合格的，予以正式聘用；不合格的，取消聘用。</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第六章 纪律与监督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第二十七条 事业单位公开招聘人员实行回避制度。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凡与聘用单位负责人员有夫妻关系、直系血亲关系、三代以内旁系血亲或者近姻亲关系的应聘人员，不得应聘该单位负责人员的秘书或者人事、财务、纪律检查岗位，以及有直接上下级领导关系的岗位。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聘用单位负责人员和招聘工作人员在办理人员聘用事项时，涉及与本人有上述亲属关系或者其他可能影响招聘公正的，也应当回避。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第二十八条 招聘工作要做到信息公开、过程公开、结果公开，接受社会及有关部门的监督。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第二十九条 政府人事行政部门和事业单位的上级主管部门要认真履行监管职责，对事业单位招聘过程中违反干部人事纪律及本规定的行为要予以制止和纠正，保证招聘工作的公开、公平、公正。</w:t>
      </w:r>
    </w:p>
    <w:p>
      <w:pPr>
        <w:keepNext w:val="0"/>
        <w:keepLines w:val="0"/>
        <w:widowControl/>
        <w:suppressLineNumbers w:val="0"/>
        <w:shd w:val="clear" w:fill="FFFFFF"/>
        <w:spacing w:before="0" w:beforeAutospacing="0" w:after="0" w:afterAutospacing="0" w:line="520" w:lineRule="atLeast"/>
        <w:ind w:left="0" w:right="0" w:firstLine="645"/>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第三十条 严格公开招聘纪律。对有下列违反本规定情形的，必须严肃处理。构成犯罪的，依法追究刑事责任。</w:t>
      </w:r>
    </w:p>
    <w:p>
      <w:pPr>
        <w:keepNext w:val="0"/>
        <w:keepLines w:val="0"/>
        <w:widowControl/>
        <w:suppressLineNumbers w:val="0"/>
        <w:shd w:val="clear" w:fill="FFFFFF"/>
        <w:spacing w:before="0" w:beforeAutospacing="0" w:after="0" w:afterAutospacing="0" w:line="520" w:lineRule="atLeast"/>
        <w:ind w:left="0" w:right="0" w:firstLine="645"/>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（一）应聘人员伪造、涂改证件、证明，或以其他不正当手段获取应聘资格的；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（二）应聘人员在考试考核过程中作弊的；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（三）招聘工作人员指使、纵容他人作弊，或在考试考核过程中参与作弊的；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（四）招聘工作人员故意泄露考试题目的；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（五）事业单位负责人员违反规定私自聘用人员的；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（六）政府人事行政部门、事业单位主管部门工作人员违反规定，影响招聘公平、公正进行的；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（七）违反本规定的其他情形的。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第三十一条 对违反公开招聘纪律的应聘人员，视情节轻重取消考试或聘用资格；对违反本规定招聘的受聘人员，一经查实，应当解除聘用合同，予以清退。</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第三十二条 对违反公开招聘纪律的工作人员，视情节轻重调离招聘工作岗位或给予处分；对违反公开招聘纪律的其他相关人员，按照有关规定追究责任。</w:t>
      </w:r>
    </w:p>
    <w:p>
      <w:pPr>
        <w:keepNext w:val="0"/>
        <w:keepLines w:val="0"/>
        <w:widowControl/>
        <w:suppressLineNumbers w:val="0"/>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第七章 附 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第三十三条 事业单位需要招聘外国国籍人员的，须报省级以上政府人事行政部门核准，并按照国家有关规定进行招聘。</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第三十四条 省、自治区、直辖市政府人事行政部门可以根据本规定，制定本地区的公开招聘办法。</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第三十五条 本规定自2006年1月1日起执行。</w:t>
      </w:r>
    </w:p>
    <w:p>
      <w:pPr>
        <w:keepNext w:val="0"/>
        <w:keepLines w:val="0"/>
        <w:widowControl/>
        <w:suppressLineNumbers w:val="0"/>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AFAFA"/>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附件4</w:t>
      </w:r>
    </w:p>
    <w:p>
      <w:pPr>
        <w:keepNext w:val="0"/>
        <w:keepLines w:val="0"/>
        <w:widowControl/>
        <w:suppressLineNumbers w:val="0"/>
        <w:shd w:val="clear" w:fill="FFFFFF"/>
        <w:spacing w:before="0" w:beforeAutospacing="0" w:after="0" w:afterAutospacing="0" w:line="50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关于进一步完善参加“三支一扶”计划等服务</w:t>
      </w:r>
    </w:p>
    <w:p>
      <w:pPr>
        <w:keepNext w:val="0"/>
        <w:keepLines w:val="0"/>
        <w:widowControl/>
        <w:suppressLineNumbers w:val="0"/>
        <w:shd w:val="clear" w:fill="FFFFFF"/>
        <w:spacing w:before="0" w:beforeAutospacing="0" w:after="0" w:afterAutospacing="0" w:line="50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基层项目高校毕业生有关就业政策的通知</w:t>
      </w:r>
    </w:p>
    <w:p>
      <w:pPr>
        <w:keepNext w:val="0"/>
        <w:keepLines w:val="0"/>
        <w:widowControl/>
        <w:suppressLineNumbers w:val="0"/>
        <w:shd w:val="clear" w:fill="FFFFFF"/>
        <w:spacing w:before="0" w:beforeAutospacing="0" w:after="0" w:afterAutospacing="0" w:line="500" w:lineRule="atLeast"/>
        <w:ind w:left="0" w:right="0" w:firstLine="256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闽人发〔2009〕221号</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各市、县(区)人事局，各有关市、县(区)“三支一扶”办：</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一、服务基层项目主要包括：福建省级和设区市级高校毕业生“三支一扶”计划、福建省高校毕业生服务社区计划、福建省大学生志愿服务欠发达地区计划、大学生志愿服务西部计划（含研究生支教团）。</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三、参加服务基层项目服务期为两年及以上期满考核合格的高校毕业生三年内报考我省事业单位工作人员招聘考试，既可按有两年以上基层工作经验报考，也可按应届毕业生身份报考。</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七、凡通过享受政策待遇，被录（聘）为公务员和事业单位工作人员的服务基层项目高校毕业生，不再享受报考公务员和事业单位加分和专门职位招考优惠政策。</w:t>
      </w:r>
    </w:p>
    <w:p>
      <w:pPr>
        <w:keepNext w:val="0"/>
        <w:keepLines w:val="0"/>
        <w:widowControl/>
        <w:suppressLineNumbers w:val="0"/>
        <w:shd w:val="clear" w:fill="FFFFFF"/>
        <w:spacing w:before="0" w:beforeAutospacing="0" w:after="0" w:afterAutospacing="0" w:line="52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八、本通知从印发之日起执行，参加省外组织实施的上述服务基层项目福建生源高校毕业生参照执行。</w:t>
      </w:r>
    </w:p>
    <w:p>
      <w:pPr>
        <w:keepNext w:val="0"/>
        <w:keepLines w:val="0"/>
        <w:widowControl/>
        <w:suppressLineNumbers w:val="0"/>
        <w:shd w:val="clear" w:fill="FFFFFF"/>
        <w:spacing w:before="0" w:beforeAutospacing="0" w:after="0" w:afterAutospacing="0" w:line="44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440" w:lineRule="atLeast"/>
        <w:ind w:left="0" w:right="0" w:firstLine="56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440" w:lineRule="atLeast"/>
        <w:ind w:left="0" w:right="0" w:firstLine="616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福建省公务员局</w:t>
      </w:r>
    </w:p>
    <w:p>
      <w:pPr>
        <w:keepNext w:val="0"/>
        <w:keepLines w:val="0"/>
        <w:widowControl/>
        <w:suppressLineNumbers w:val="0"/>
        <w:shd w:val="clear" w:fill="FFFFFF"/>
        <w:spacing w:before="0" w:beforeAutospacing="0" w:after="0" w:afterAutospacing="0" w:line="440" w:lineRule="atLeast"/>
        <w:ind w:left="0" w:right="0" w:firstLine="456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福建省人力资源开发办公室</w:t>
      </w:r>
    </w:p>
    <w:p>
      <w:pPr>
        <w:keepNext w:val="0"/>
        <w:keepLines w:val="0"/>
        <w:widowControl/>
        <w:suppressLineNumbers w:val="0"/>
        <w:shd w:val="clear" w:fill="FFFFFF"/>
        <w:spacing w:before="0" w:beforeAutospacing="0" w:after="0" w:afterAutospacing="0" w:line="440" w:lineRule="atLeast"/>
        <w:ind w:left="0" w:right="0" w:firstLine="112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福建省高校毕业生“三支一扶”工作协调管理办公室</w:t>
      </w:r>
    </w:p>
    <w:p>
      <w:pPr>
        <w:keepNext w:val="0"/>
        <w:keepLines w:val="0"/>
        <w:widowControl/>
        <w:suppressLineNumbers w:val="0"/>
        <w:shd w:val="clear" w:fill="FFFFFF"/>
        <w:spacing w:before="0" w:beforeAutospacing="0" w:after="0" w:afterAutospacing="0" w:line="440" w:lineRule="atLeast"/>
        <w:ind w:left="0" w:right="0" w:firstLine="4800"/>
        <w:jc w:val="lef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二○○九年九月二十五日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14272641"/>
    <w:rsid w:val="14272641"/>
    <w:rsid w:val="78383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2023-03-24T01:15:00Z</dcterms:created>
  <dc:creator>Administrator</dc:creator>
  <cp:lastModifiedBy>Administrator</cp:lastModifiedBy>
  <dcterms:modified xsi:type="dcterms:W3CDTF">2023-03-24T01:31:25Z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BAC1BE5670B14971BC6B0A8CEC273DC7</vt:lpwstr>
  </property>
</Properties>
</file>