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765"/>
        <w:gridCol w:w="675"/>
        <w:gridCol w:w="1290"/>
        <w:gridCol w:w="1110"/>
        <w:gridCol w:w="660"/>
        <w:gridCol w:w="735"/>
        <w:gridCol w:w="1410"/>
        <w:gridCol w:w="630"/>
        <w:gridCol w:w="750"/>
        <w:gridCol w:w="660"/>
        <w:gridCol w:w="765"/>
        <w:gridCol w:w="2400"/>
        <w:gridCol w:w="109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58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58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新兴县2022年招聘教育急需紧缺人才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eastAsia="zh-CN" w:bidi="ar"/>
              </w:rPr>
              <w:t>（第二批）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名称及代码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本科专业名称及代码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从事高中数学教学等相关工作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 （A0701）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数学类（B0701）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具有高级中学数学教师资格证。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从事高中英语教学等相关工作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英语语言文学（A050201）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英语笔译硕士（A050212）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英语口译硕士（A050213）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英语（B050201）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有高级中学英语教师资格证。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从事高中语文教学等相关工作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中国语言文学(A0501)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学科教学硕士（语文）（A040113）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 （B0501）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具有高级中学语文教师资格证。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从事高中化学教学等相关工作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化学（A0703）                       学科教学硕士（化学）（A040113）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化学类（B0703）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具有高级中学化学教师资格证。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从事高中地理教学等相关工作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地理学（A0705）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学科教学硕士（地理）（A040113）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地理科学类（B070501）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具有高级中学地理教师资格证。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新兴县惠能中学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从事高中物理教学等相关工作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物理学（A0702）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学科教学硕士（物理）（A040113）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物理类（B0702）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具有高级中学物理教师资格证。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新兴县惠能中学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从事高中地理教学等相关工作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地理学（A0705）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学科教学硕士（地理）（A040113）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地理科学（B070501）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具有高级中学地理教师资格证。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新兴县华侨中学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从事高中语文教学等相关工作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硕士研究生学历学位人员年龄要求35周岁以下；本科学历学位人员年龄要求30周岁以下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中国语言文学(A0501)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学科教学硕士（语文）（A040113）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汉语言文学（B050101）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具有高级中学语文教师资格证。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新兴县田家炳中学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从事高中政治教学等相关工作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本科学历学位人员年龄要求30周岁以下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思想政治教育（A030505）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政治学理论（A030201）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政治学理论（A030201）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政治学理论（A030201）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思想政治教育（A030505）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学科教学硕士（政治）（A040113）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哲学（A0101）教育学（A0401）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思想政治教育（B030503）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具有高级中学思想政治教师资格证。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以本科学历报名的要求为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全国重点师范类院校师范专业本科学历（学士学位）的毕业生。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8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备注：专业名单及代码请参照2022年广东省考试录用公务员专业目录。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40" w:h="11907" w:orient="landscape"/>
      <w:pgMar w:top="1304" w:right="850" w:bottom="1304" w:left="850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10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FFF02EE"/>
    <w:rsid w:val="2B033E75"/>
    <w:rsid w:val="2F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2022-11-03T00:55:00Z</dcterms:created>
  <dc:creator>Administrator</dc:creator>
  <cp:lastModifiedBy>Administrator</cp:lastModifiedBy>
  <dcterms:modified xsi:type="dcterms:W3CDTF">2022-11-03T01:02:03Z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E685B8174E904529AB077809BDD6095E</vt:lpwstr>
  </property>
</Properties>
</file>