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11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firstLine="843" w:firstLineChars="200"/>
        <w:rPr>
          <w:rFonts w:ascii="Times New Roman" w:hAnsi="Times New Roman" w:eastAsia="黑体"/>
          <w:b/>
          <w:color w:val="FF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4445" b="1206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4" name="直接连接符 4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直接连接符 5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JZ8IdC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482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2B0F45C8"/>
    <w:rsid w:val="35496928"/>
    <w:rsid w:val="3B896799"/>
    <w:rsid w:val="4F9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00F9541041C04237BB70C25F00F2A6C1</vt:lpwstr>
  </property>
</Properties>
</file>