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方正黑体_GBK" w:eastAsia="方正黑体_GBK"/>
          <w:b/>
          <w:kern w:val="0"/>
          <w:szCs w:val="32"/>
        </w:rPr>
      </w:pPr>
    </w:p>
    <w:p>
      <w:pPr>
        <w:pStyle w:val="7"/>
        <w:rPr>
          <w:rFonts w:ascii="方正黑体_GBK" w:eastAsia="方正黑体_GBK"/>
          <w:b/>
          <w:kern w:val="0"/>
          <w:szCs w:val="32"/>
        </w:rPr>
      </w:pPr>
    </w:p>
    <w:p>
      <w:pPr>
        <w:jc w:val="center"/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</w:pPr>
      <w:r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  <w:t>江苏省2022年度考试录用公务员</w:t>
      </w:r>
    </w:p>
    <w:p>
      <w:pPr>
        <w:jc w:val="center"/>
        <w:rPr>
          <w:rFonts w:hint="eastAsia" w:ascii="方正小标宋_GBK" w:hAnsi="Times New Roman" w:eastAsia="方正小标宋_GBK"/>
          <w:b/>
          <w:color w:val="000000"/>
          <w:sz w:val="42"/>
          <w:szCs w:val="44"/>
        </w:rPr>
      </w:pPr>
      <w:r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  <w:t>专业参考目录</w:t>
      </w:r>
    </w:p>
    <w:p>
      <w:pPr>
        <w:jc w:val="center"/>
        <w:rPr>
          <w:rFonts w:ascii="Times New Roman" w:hAnsi="Times New Roman" w:eastAsia="方正楷体简体"/>
          <w:b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b/>
          <w:color w:val="000000"/>
          <w:sz w:val="36"/>
          <w:szCs w:val="36"/>
        </w:rPr>
      </w:pPr>
    </w:p>
    <w:tbl>
      <w:tblPr>
        <w:tblStyle w:val="4"/>
        <w:tblpPr w:leftFromText="180" w:rightFromText="180" w:vertAnchor="text" w:horzAnchor="margin" w:tblpXSpec="center" w:tblpY="3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江苏省公务员局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202</w:t>
            </w: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>1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年</w:t>
            </w: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>11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月</w:t>
            </w:r>
          </w:p>
        </w:tc>
      </w:tr>
    </w:tbl>
    <w:p>
      <w:pPr>
        <w:rPr>
          <w:vanish/>
        </w:rPr>
      </w:pPr>
    </w:p>
    <w:p>
      <w:pPr>
        <w:spacing w:line="600" w:lineRule="exact"/>
        <w:ind w:firstLine="843" w:firstLineChars="200"/>
        <w:rPr>
          <w:rFonts w:ascii="Times New Roman" w:hAnsi="Times New Roman" w:eastAsia="黑体"/>
          <w:b/>
          <w:color w:val="FF0000"/>
          <w:sz w:val="36"/>
          <w:szCs w:val="36"/>
        </w:rPr>
      </w:pPr>
      <w:r>
        <w:rPr>
          <w:rFonts w:ascii="Times New Roman" w:hAnsi="Times New Roman" w:eastAsia="方正小标宋简体"/>
          <w:b/>
          <w:color w:val="000000"/>
          <w:spacing w:val="-10"/>
          <w:sz w:val="44"/>
          <w:szCs w:val="44"/>
        </w:rPr>
        <w:br w:type="page"/>
      </w:r>
    </w:p>
    <w:tbl>
      <w:tblPr>
        <w:tblStyle w:val="4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42"/>
        <w:gridCol w:w="2007"/>
        <w:gridCol w:w="2166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3175" t="3175" r="4445" b="12065"/>
                      <wp:wrapNone/>
                      <wp:docPr id="6" name="组合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4" name="直接连接符 4"/>
                              <wps:cNvSp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" name="直接连接符 5"/>
                              <wps:cNvSp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3pt;margin-top:-0.5pt;height:93.6pt;width:87pt;rotation:11796480f;z-index:251659264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JcjbgdcAAAAKAQAADwAA&#10;AAAAAAABACAAAAAiAAAAZHJzL2Rvd25yZXYueG1sUEsBAhQAFAAAAAgAh07iQJZ8IdCJAgAAKQcA&#10;AA4AAAAAAAAAAQAgAAAAJgEAAGRycy9lMm9Eb2MueG1sUEsFBgAAAAAGAAYAWQEAACEGAAAAAA==&#10;">
                      <o:lock v:ext="edit" aspectratio="f"/>
                      <v:line id="_x0000_s1026" o:spid="_x0000_s1026" o:spt="20" style="position:absolute;left:-103;top:0;height:990;width:420;" filled="f" stroked="t" coordsize="21600,21600" o:gfxdata="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3Cr5b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-103;top:0;height:1980;width:420;" filled="f" stroked="t" coordsize="21600,21600" o:gfxdata="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PA5+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ind w:firstLine="316" w:firstLineChars="150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</w:t>
            </w: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专业大类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中文文秘类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，科学技术史，美学，思想政治教育，马克思主义理论，中共党史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，马克思主义理论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艺术类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艺术学理论，音乐与舞蹈学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，戏剧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，服装设计与工程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法律类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法学，知识产权，监狱学，律师，知识产权法，民商法，法律，法学（法务会计），海商法学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社会政治类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，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公共管理，行政管理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，马克思主义理论，外国语言与外国历史，公共事业管理，行政管理，广播电视学，新闻学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经济类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理论经济学，应用经济学，企业管理，工商管理，工商管理硕士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，审计，物流管理，工程管理，会计，会计学，金融学，会计与金融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，体育经济与管理，物流管理，会计，会计学，互联网金融，经济与金融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，农村发展，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政治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，物流工程与管理，工业工程与管理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，财政学，酒店管理，体育经济与管理，物流管理，房地产开发与管理，物业管理，城乡规划，土地资源管理，邮政管理，国防动员与国防教育，健康服务与管理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档案管理，经济与行政管理，旅游管理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工商管理类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管理科学与工程，会计学，会计，会计硕士，企业管理（含：财务管理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市场营销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旅游管理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技术经济及管理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人力资源管理），工程管理，项目管理，工商管理, 工商管理硕士，工业工程，物流工程，国际商务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，物流工程与管理，工业工程与管理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，电子商务及法律，国际经济与贸易，商务英语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商务贸易类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国际贸易学，国际商务，国际贸易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，商务英语，电子商务及法律，互联网金融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财务财会类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会计学，财政学（含税收学），税务，会计，会计硕士，金融，金融硕士，金融学，审计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，工商管理，资产评估，应用经济学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，经济与金融，工商管理，资产评估，国际经济与贸易，贸易经济，互联网金融，保险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，会计信息管理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税务税收类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税务，财税，税收学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统计类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统计学，系统理论，应用统计，应用统计硕士，概率论与数理统计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数学，流行病与卫生统计学，系统科学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统计学，系统理论，系统科学与工程，应用统计学，经济统计学，经济学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，数学与应用数学，金融数学，数据计算及应用，数理基础科学，信息与计算科学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审计类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审计，审计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审计学，财务会计与审计，审计学（ACCA方向）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会计与审计，审计实务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教育类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心理健康教育，体育人文社会学，运动人体科学，体育教育训练学，民族传统体育学，体育学，体育教学，教育，教育学，汉语国际教育，体育，应用心理，学科教学（分学科），教育管理，运动训练，学前教育，教育法学，各类师范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，小学教育，科学与技术教育，职业技术教育，教育经济与管理，社会体育指导，信息艺术设计教育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，社会体育指导与管理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外国语言文学类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德语笔译，德语口译，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日语笔译，日语口译，外国语言文学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，俄语笔译，俄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语口译，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朝鲜语口译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朝鲜语笔译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，法语笔译，法语口译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，外国语言与外国历史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监所管理类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监狱学，监所管理，侦查学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，管理科学，法学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计算机系统结构，计算机应用技术，系统工程，计算机技术，计算机科学与技术，专业大类序号为18、19、20的所有专业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通信工程，信息管理与信息系统，数据科学与大数据技术，信息工程，大数据管理与应用，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专业大类序号为18、19、20的所有专业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计算机（软件）类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计算机软件与理论，软件工程，计算机科学与技术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，模式识别与智能系统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，计算机应用技术，计算机系统结构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计算机（网络管理）类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网络空间安全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网络工程，物联网工程，信息安全，计算机科学与技术，信息管理与信息系统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，网络空间安全，计算机技术及其应用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电子信息类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控制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模式识别与智能系统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，测试计量技术及仪器，仪器科学与技术，水声工程，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教育技术学，电子信息，光学，农业工程与信息技术，机械电子工程，计算机技术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，机械电子工程，电信工程及管理，软件工程，电气工程及其自动化，信息对抗技术，信息与通信工程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机电控制类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，农业工程与信息技术，电子信息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，新能源科学与工程，机电技术教育，交通运输，建筑电气与智能化，木材科学与工程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，机器人工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程，汽车服务工程，机械工程，电子科学与技术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机械工程类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，载运工具运用工程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，农业工程与信息技术，机械，动力工程，农业工程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设计制造及其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，机电技术教育，木材科学与工程，金属材料工程，热能与动力工程，飞行器动力工程，能源与动力工程，农业工程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交通工程类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，物流工程与管理，交通运输，船舶与海洋工程，船舶与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海洋结构物设计制造，航空宇航推进理论与工程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，工程管理，飞行器动力工程，港口航道与海岸工程，铁道工程，汽车服务工程，车辆工程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航道港口类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港口、海岸及近海工程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港口航道与海岸工程，港口海岸及治河工程，航海技术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，船舶与海洋工程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船舶工程类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船舶与海洋工程，海洋工程与技术，海洋资源开发技术，海洋技术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，轮机工程，航海技术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水利工程类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，流体机械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及工程，农业工程，土木水利，农业工程与信息技术，土木工程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，工程造价，土木工程，水土保持与荒漠化防治，资源循环科学与工程，水质科学与技术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城建规划类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，道路与铁道工程，水工结构工程，结构工程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，给排水科学与工程，道路桥梁与渡河工程，房地产开发与管理，城市管理，水利水电工程，水利工程，交通工程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土地管理类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，测绘科学与技术，大地测量学与测量工程，摄影测量与遥感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，测绘工程，房地产开发与管理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29 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测绘类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，导航工程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建筑工程类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道路与铁道工程，水利工程，水工结构工程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，消防工程，木材科学与工程，城乡规划，水利水电工程，水利工程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，建设工程管理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材料工程类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，冶金工程，材料与化工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材料成型及控制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，非织造材料与工程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地质矿产类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 采矿工程，矿物资源工程，煤及煤层气工程，石油工程，海洋油气工程，油气储运工程，矿物加工工程，地球物理学，地球信息科学与技术，宝石及材料工艺学，固体地球物理学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安全生产类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安全技术及工程，安全科学与工程，安全工程，矿业工程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，防灾减灾工程及防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护工程，石油与天然气工程，化工过程机械，采矿工程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安全工程，安全防范工程，消防工程，火灾勘查，雷电防护科学与技术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，应急管理，应急技术与管理，防灾减灾科学与工程，特种能源技术与工程，辐射防护与核安全，油气储运工程，化学工程与工艺，采矿工程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能源动力类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，能源动力，供热、供燃气、通风及空调工程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能源经济，核工程与核技术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环境保护类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气象学，植物营养学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，资源与环境，野生动植物保护与利用，农业资源与环境，海洋气象学，环境地质工程，大气遥感与大气探测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环境工程，安全工程，消防工程，水质科学与技术，给排水科学与工程，灾害防治工程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，辐射防护与核安全，水文与水资源工程，资源循环科学与工程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化学工程类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化学工程，无机化学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材料科学与工程，化学工艺，生物化工，应用化学，分析化学，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工业催化，化学工程与技术，有机化学，高分子化学与物理，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化工过程机械，过程装备与控制工程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，纺织化学与染整工程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，材料与化工，</w:t>
            </w:r>
          </w:p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材料学，矿物加工工程，物理化学，材料物理与化学，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专业大类序号为37的所有专业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化学工程与工艺，化学工程与工业生物工程，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资源科学与工程，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化工与制药，油气加工工程，矿物加工工程，资源循环科学与工程，能源化学工程，应用化学，高分子材料与工程，轻化工程，林产化工，材料化学，特种能源工程与烟火技术，特种能源技术与工程，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材料科学与工程，过程装备与控制工程，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专业大类序号为37的所有专业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医药化工类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药物化学，微生物与生化药学，制药工程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，应用化学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，有机化学，分析化学，药学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制药工程，化工与制药，化学生物学，药物化学，中药制药，生物制药，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药物制剂，药学，应用化学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18"/>
                <w:szCs w:val="18"/>
              </w:rPr>
              <w:t>，中药学，生物工程，生物技术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食品工程类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生物工程类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生物化工，生物学，发酵工程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轻工纺织类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服装设计与工艺教育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农业类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农业机械化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，农业管理，渔业发展，农艺与种业，渔业资源，水产，畜牧学，森林保护学，森林培育，森林经理学，林木遗传育种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，森林保护，生物技术，生物科学，水产养殖学，动物医学，动物科学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林业类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风景园林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，农艺与种业，植物保护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畜牧养殖类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，生物学，畜牧，渔业发展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，宠物养护与驯导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，特种医学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公共卫生类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公共卫生与预防医学，社会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医学与卫生事业管理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，卫生检验学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预防医学，基础医学，卫生检验，卫生检验与检疫，食品卫生与营养学，全球健康学，卫生事业管理，药事管理，营养学,护理学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，妇幼保健医学，高级护理，涉外护理，健康服务与管理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药学类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基础理学类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农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药学，生物工程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，应用化学，物理学，海洋科学，化学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数学与应用数学，数学及应用数学，信息与计算科学，数理基础科学，物理学，应用物理学，声学，核物理，化学，应用化学，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材料化学，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，应用统计学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兵工宇航类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兵器工程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导航工程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仪表仪器及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测试技术类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军事学类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战略学，军事思想及军事历史，军制学，战役学，战术学，军队指挥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eastAsia="黑体"/>
          <w:b/>
          <w:color w:val="000000"/>
          <w:sz w:val="24"/>
          <w:szCs w:val="24"/>
        </w:rPr>
      </w:pPr>
    </w:p>
    <w:p>
      <w:pPr>
        <w:rPr>
          <w:rFonts w:ascii="Times New Roman" w:hAnsi="Times New Roman"/>
          <w:b/>
          <w:color w:val="000000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531" w:bottom="1588" w:left="1531" w:header="851" w:footer="1304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27 -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B4A584A"/>
    <w:rsid w:val="1B4A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7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2022-09-08T00:41:00Z</dcterms:created>
  <dc:creator>Administrator</dc:creator>
  <cp:lastModifiedBy>Administrator</cp:lastModifiedBy>
  <dcterms:modified xsi:type="dcterms:W3CDTF">2022-09-08T00:59:43Z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173734FC0E204DA58DFA6DCD41CF3257</vt:lpwstr>
  </property>
</Properties>
</file>