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kern w:val="0"/>
          <w:sz w:val="44"/>
          <w:szCs w:val="44"/>
        </w:rPr>
        <w:t>事业单位公开招聘违纪违规行为处理规定</w:t>
      </w:r>
    </w:p>
    <w:p>
      <w:pPr>
        <w:widowControl/>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中华人民共和国人力资源和社会保障部令</w:t>
      </w:r>
    </w:p>
    <w:p>
      <w:pPr>
        <w:widowControl/>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第35号</w:t>
      </w:r>
    </w:p>
    <w:p>
      <w:pPr>
        <w:widowControl/>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w:t>
      </w:r>
    </w:p>
    <w:p>
      <w:pPr>
        <w:widowControl/>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《事业单位公开招聘违纪违规行为处理规定》已经2017年9月25日人力资源社会保障部第135次部务会审议通过，现予公布，自2018年1月1日起施行。</w:t>
      </w:r>
    </w:p>
    <w:p>
      <w:pPr>
        <w:widowControl/>
        <w:spacing w:line="56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p>
      <w:pPr>
        <w:widowControl/>
        <w:spacing w:line="560" w:lineRule="exact"/>
        <w:jc w:val="left"/>
        <w:rPr>
          <w:rFonts w:hint="eastAsia" w:ascii="仿宋_GB2312" w:hAnsi="仿宋_GB2312" w:eastAsia="仿宋_GB2312" w:cs="仿宋_GB2312"/>
          <w:kern w:val="0"/>
          <w:sz w:val="32"/>
          <w:szCs w:val="32"/>
        </w:rPr>
      </w:pPr>
    </w:p>
    <w:p>
      <w:pPr>
        <w:widowControl/>
        <w:spacing w:line="560" w:lineRule="exact"/>
        <w:jc w:val="left"/>
        <w:rPr>
          <w:rFonts w:hint="eastAsia" w:ascii="仿宋_GB2312" w:hAnsi="仿宋_GB2312" w:eastAsia="仿宋_GB2312" w:cs="仿宋_GB2312"/>
          <w:kern w:val="0"/>
          <w:sz w:val="32"/>
          <w:szCs w:val="32"/>
        </w:rPr>
      </w:pPr>
    </w:p>
    <w:p>
      <w:pPr>
        <w:widowControl/>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部长 尹蔚民</w:t>
      </w:r>
    </w:p>
    <w:p>
      <w:pPr>
        <w:widowControl/>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2017年10月9日</w:t>
      </w:r>
    </w:p>
    <w:p>
      <w:pPr>
        <w:widowControl/>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w:t>
      </w:r>
    </w:p>
    <w:p>
      <w:pPr>
        <w:widowControl/>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w:t>
      </w:r>
    </w:p>
    <w:p>
      <w:pPr>
        <w:widowControl/>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w:t>
      </w:r>
    </w:p>
    <w:p>
      <w:pPr>
        <w:widowControl/>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w:t>
      </w:r>
    </w:p>
    <w:p>
      <w:pPr>
        <w:widowControl/>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w:t>
      </w:r>
    </w:p>
    <w:p>
      <w:pPr>
        <w:widowControl/>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w:t>
      </w:r>
    </w:p>
    <w:p>
      <w:pPr>
        <w:widowControl/>
        <w:spacing w:line="56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p>
      <w:pPr>
        <w:widowControl/>
        <w:spacing w:line="560" w:lineRule="exact"/>
        <w:jc w:val="left"/>
        <w:rPr>
          <w:rFonts w:hint="eastAsia" w:ascii="仿宋_GB2312" w:hAnsi="仿宋_GB2312" w:eastAsia="仿宋_GB2312" w:cs="仿宋_GB2312"/>
          <w:kern w:val="0"/>
          <w:sz w:val="32"/>
          <w:szCs w:val="32"/>
        </w:rPr>
      </w:pPr>
    </w:p>
    <w:p>
      <w:pPr>
        <w:widowControl/>
        <w:spacing w:line="560" w:lineRule="exact"/>
        <w:jc w:val="left"/>
        <w:rPr>
          <w:rFonts w:hint="eastAsia" w:ascii="仿宋_GB2312" w:hAnsi="仿宋_GB2312" w:eastAsia="仿宋_GB2312" w:cs="仿宋_GB2312"/>
          <w:kern w:val="0"/>
          <w:sz w:val="32"/>
          <w:szCs w:val="32"/>
        </w:rPr>
      </w:pPr>
    </w:p>
    <w:p>
      <w:pPr>
        <w:widowControl/>
        <w:spacing w:line="560" w:lineRule="exact"/>
        <w:jc w:val="left"/>
        <w:rPr>
          <w:rFonts w:hint="eastAsia" w:ascii="仿宋_GB2312" w:hAnsi="仿宋_GB2312" w:eastAsia="仿宋_GB2312" w:cs="仿宋_GB2312"/>
          <w:kern w:val="0"/>
          <w:sz w:val="32"/>
          <w:szCs w:val="32"/>
        </w:rPr>
      </w:pPr>
    </w:p>
    <w:p>
      <w:pPr>
        <w:widowControl/>
        <w:spacing w:line="560" w:lineRule="exact"/>
        <w:jc w:val="left"/>
        <w:rPr>
          <w:rFonts w:hint="eastAsia" w:ascii="仿宋_GB2312" w:hAnsi="仿宋_GB2312" w:eastAsia="仿宋_GB2312" w:cs="仿宋_GB2312"/>
          <w:kern w:val="0"/>
          <w:sz w:val="32"/>
          <w:szCs w:val="32"/>
        </w:rPr>
      </w:pPr>
    </w:p>
    <w:p>
      <w:pPr>
        <w:widowControl/>
        <w:spacing w:line="560" w:lineRule="exact"/>
        <w:jc w:val="left"/>
        <w:rPr>
          <w:rFonts w:hint="eastAsia" w:ascii="仿宋_GB2312" w:hAnsi="仿宋_GB2312" w:eastAsia="仿宋_GB2312" w:cs="仿宋_GB2312"/>
          <w:kern w:val="0"/>
          <w:sz w:val="32"/>
          <w:szCs w:val="32"/>
        </w:rPr>
      </w:pPr>
    </w:p>
    <w:p>
      <w:pPr>
        <w:widowControl/>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kern w:val="0"/>
          <w:sz w:val="44"/>
          <w:szCs w:val="44"/>
        </w:rPr>
        <w:t>事业单位公开招聘违纪违规行为处理规定</w:t>
      </w:r>
    </w:p>
    <w:p>
      <w:pPr>
        <w:widowControl/>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w:t>
      </w:r>
    </w:p>
    <w:p>
      <w:pPr>
        <w:widowControl/>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第一章     总  则</w:t>
      </w:r>
    </w:p>
    <w:p>
      <w:pPr>
        <w:widowControl/>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第一条  为加强事业单位公开招聘工作管理，规范公开招聘违纪违规行为的认定与处理，保证招聘工作公开、公平、公正，根据《事业单位人事管理条例》等有关规定，制定本规定。</w:t>
      </w:r>
    </w:p>
    <w:p>
      <w:pPr>
        <w:widowControl/>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第二条  事业单位公开招聘中违纪违规行为的认定与处理，适用本规定。</w:t>
      </w:r>
    </w:p>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第三条  认定与处理公开招聘违纪违规行为，应当事实清楚、证据确凿、程序规范、适用规定准确。</w:t>
      </w:r>
    </w:p>
    <w:p>
      <w:pPr>
        <w:widowControl/>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第四条  中央事业单位人事综合管理部门负责全国事业单位公开招聘工作的综合管理与监督。</w:t>
      </w:r>
    </w:p>
    <w:p>
      <w:pPr>
        <w:widowControl/>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各级事业单位人事综合管理部门、事业单位主管部门、招聘单位按照事业单位公开招聘管理权限，依据本规定对公开招聘违纪违规行为进行认定与处理。</w:t>
      </w:r>
    </w:p>
    <w:p>
      <w:pPr>
        <w:widowControl/>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第二章    应聘人员违纪违规行为处理</w:t>
      </w:r>
    </w:p>
    <w:p>
      <w:pPr>
        <w:widowControl/>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第五条  应聘人员在报名过程中有下列违纪违规行为之一的，取消其本次应聘资格：</w:t>
      </w:r>
    </w:p>
    <w:p>
      <w:pPr>
        <w:widowControl/>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（一）伪造、涂改证件、证明等报名材料，或者以其他不正当手段获取应聘资格的；</w:t>
      </w:r>
    </w:p>
    <w:p>
      <w:pPr>
        <w:widowControl/>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（二）提供的涉及报考资格的申请材料或者信息不实，且影响报名审核结果的；</w:t>
      </w:r>
    </w:p>
    <w:p>
      <w:pPr>
        <w:widowControl/>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（三）其他应当取消其本次应聘资格的违纪违规行为。</w:t>
      </w:r>
    </w:p>
    <w:p>
      <w:pPr>
        <w:widowControl/>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第六条  应聘人员在考试过程中有下列违纪违规行为之一的，给予其当次该科目考试成绩无效的处理：</w:t>
      </w:r>
    </w:p>
    <w:p>
      <w:pPr>
        <w:widowControl/>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（一）携带规定以外的物品进入考场且未按要求放在指定位置，经提醒仍不改正的；</w:t>
      </w:r>
    </w:p>
    <w:p>
      <w:pPr>
        <w:widowControl/>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（二）未在规定座位参加考试，或者未经考试工作人员允许擅自离开座位或者考场，经提醒仍不改正的；</w:t>
      </w:r>
    </w:p>
    <w:p>
      <w:pPr>
        <w:widowControl/>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（三）经提醒仍不按规定填写、填涂本人信息的；</w:t>
      </w:r>
    </w:p>
    <w:p>
      <w:pPr>
        <w:widowControl/>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（四）在试卷、答题纸、答题卡规定以外位置标注本人信息或者其他特殊标记的；</w:t>
      </w:r>
    </w:p>
    <w:p>
      <w:pPr>
        <w:widowControl/>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（五）在考试开始信号发出前答题，或者在考试结束信号发出后继续答题，经提醒仍不停止的；</w:t>
      </w:r>
    </w:p>
    <w:p>
      <w:pPr>
        <w:widowControl/>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（六）将试卷、答题卡、答题纸带出考场，或者故意损坏试卷、答题卡、答题纸及考试相关设施设备的；</w:t>
      </w:r>
    </w:p>
    <w:p>
      <w:pPr>
        <w:widowControl/>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（七）其他应当给予当次该科目考试成绩无效处理的违纪违规行为。</w:t>
      </w:r>
    </w:p>
    <w:p>
      <w:pPr>
        <w:widowControl/>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第七条  应聘人员在考试过程中有下列严重违纪违规行为之一的，给予其当次全部科目考试成绩无效的处理，并将其违纪违规行为记入事业单位公开招聘应聘人员诚信档案库，记录期限为五年：</w:t>
      </w:r>
    </w:p>
    <w:p>
      <w:pPr>
        <w:widowControl/>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（一）抄袭、协助他人抄袭的；</w:t>
      </w:r>
    </w:p>
    <w:p>
      <w:pPr>
        <w:widowControl/>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（二）互相传递试卷、答题纸、答题卡、草稿纸等的；</w:t>
      </w:r>
    </w:p>
    <w:p>
      <w:pPr>
        <w:widowControl/>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（三）持伪造证件参加考试的；</w:t>
      </w:r>
    </w:p>
    <w:p>
      <w:pPr>
        <w:widowControl/>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（四）使用禁止带入考场的通讯工具、规定以外的电子用品的；</w:t>
      </w:r>
    </w:p>
    <w:p>
      <w:pPr>
        <w:widowControl/>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（五）本人离开考场后，在本场考试结束前，传播考试试题及答案的；</w:t>
      </w:r>
    </w:p>
    <w:p>
      <w:pPr>
        <w:widowControl/>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（六）其他应当给予当次全部科目考试成绩无效处理并记入事业单位公开招聘应聘人员诚信档案库的严重违纪违规行为。</w:t>
      </w:r>
    </w:p>
    <w:p>
      <w:pPr>
        <w:widowControl/>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第八条  应聘人员有下列特别严重违纪违规行为之一的，给予其当次全部科目考试成绩无效的处理，并将其违纪违规行为记入事业单位公开招聘应聘人员诚信档案库，长期记录：</w:t>
      </w:r>
    </w:p>
    <w:p>
      <w:pPr>
        <w:widowControl/>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（一）串通作弊或者参与有组织作弊的；</w:t>
      </w:r>
    </w:p>
    <w:p>
      <w:pPr>
        <w:widowControl/>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（二）代替他人或者让他人代替自己参加考试的；</w:t>
      </w:r>
    </w:p>
    <w:p>
      <w:pPr>
        <w:widowControl/>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（三）其他应当给予当次全部科目考试成绩无效处理并记入事业单位公开招聘应聘人员诚信档案库的特别严重的违纪违规行为。</w:t>
      </w:r>
    </w:p>
    <w:p>
      <w:pPr>
        <w:widowControl/>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widowControl/>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（一）故意扰乱考点、考场以及其他招聘工作场所秩序的；</w:t>
      </w:r>
    </w:p>
    <w:p>
      <w:pPr>
        <w:widowControl/>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（二）拒绝、妨碍工作人员履行管理职责的；</w:t>
      </w:r>
    </w:p>
    <w:p>
      <w:pPr>
        <w:widowControl/>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（三）威胁、侮辱、诽谤、诬陷工作人员或者其他应聘人员的；</w:t>
      </w:r>
    </w:p>
    <w:p>
      <w:pPr>
        <w:widowControl/>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（四）其他扰乱招聘工作秩序的违纪违规行为。</w:t>
      </w:r>
    </w:p>
    <w:p>
      <w:pPr>
        <w:widowControl/>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widowControl/>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应聘人员之间同一科目作答内容雷同，并有其他相关证据证明其违纪违规行为成立的，视具体情形按照本规定第七条、第八条处理。</w:t>
      </w:r>
    </w:p>
    <w:p>
      <w:pPr>
        <w:widowControl/>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widowControl/>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widowControl/>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第十三条  应聘人员聘用后被查明有本规定所列违纪违规行为的，由招聘单位与其解除聘用合同、予以清退，其中符合第七条、第八条、第十一条、第十二条违纪违规行为的，记入事业单位公开招聘应聘人员诚信档案库。</w:t>
      </w:r>
    </w:p>
    <w:p>
      <w:pPr>
        <w:widowControl/>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widowControl/>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第三章   招聘单位和招聘工作人员违纪违规行为处理</w:t>
      </w:r>
    </w:p>
    <w:p>
      <w:pPr>
        <w:widowControl/>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第十五条  招聘单位在公开招聘中有下列行为之一的，事业单位主管部门或者事业单位人事综合管理部门应当责令限期改正；逾期不改正的，对直接负责的主管人员和其他直接责任人员依法给予处分：</w:t>
      </w:r>
    </w:p>
    <w:p>
      <w:pPr>
        <w:widowControl/>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（一）未按规定权限和程序核准（备案）招聘方案，擅自组织公开招聘的；</w:t>
      </w:r>
    </w:p>
    <w:p>
      <w:pPr>
        <w:widowControl/>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（二）设置与岗位无关的指向性或者限制性条件的；</w:t>
      </w:r>
    </w:p>
    <w:p>
      <w:pPr>
        <w:widowControl/>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（三）未按规定发布招聘公告的；</w:t>
      </w:r>
    </w:p>
    <w:p>
      <w:pPr>
        <w:widowControl/>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（四）招聘公告发布后，擅自变更招聘程序、岗位条件、招聘人数、考试考察方式等的；</w:t>
      </w:r>
    </w:p>
    <w:p>
      <w:pPr>
        <w:widowControl/>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（五）未按招聘条件进行资格审查的；</w:t>
      </w:r>
    </w:p>
    <w:p>
      <w:pPr>
        <w:widowControl/>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（六）未按规定组织体检的；</w:t>
      </w:r>
    </w:p>
    <w:p>
      <w:pPr>
        <w:widowControl/>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（七）未按规定公示拟聘用人员名单的；</w:t>
      </w:r>
    </w:p>
    <w:p>
      <w:pPr>
        <w:widowControl/>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（八）其他应当责令改正的违纪违规行为。</w:t>
      </w:r>
    </w:p>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第十六条  招聘工作人员有下列行为之一的，由相关部门给予处分，并停止其继续参加当年及下一年度招聘工作：</w:t>
      </w:r>
    </w:p>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（一）擅自提前考试开始时间、推迟考试结束时间及缩短考试时间的；</w:t>
      </w:r>
    </w:p>
    <w:p>
      <w:pPr>
        <w:widowControl/>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（二）擅自为应聘人员调换考场或者座位的；</w:t>
      </w:r>
    </w:p>
    <w:p>
      <w:pPr>
        <w:widowControl/>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（三）未准确记录考场情况及违纪违规行为，并造成一定影响的；</w:t>
      </w:r>
    </w:p>
    <w:p>
      <w:pPr>
        <w:widowControl/>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（四）未执行回避制度的；</w:t>
      </w:r>
    </w:p>
    <w:p>
      <w:pPr>
        <w:widowControl/>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（五）其他一般违纪违规行为。</w:t>
      </w:r>
    </w:p>
    <w:p>
      <w:pPr>
        <w:widowControl/>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xml:space="preserve">　　第十七条  招聘工作人员有下列行为之一的，由相关部门给予处分，并将其调离招聘工作岗位，不得再从事招聘工作；构成犯罪的，依法追究刑事责任： </w:t>
      </w:r>
    </w:p>
    <w:p>
      <w:pPr>
        <w:widowControl/>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（一）指使、纵容他人作弊，或者在考试、考察、体检过程中参与作弊的；</w:t>
      </w:r>
    </w:p>
    <w:p>
      <w:pPr>
        <w:widowControl/>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（二）在保密期限内，泄露考试试题、面试评分要素等应当保密的信息的；</w:t>
      </w:r>
    </w:p>
    <w:p>
      <w:pPr>
        <w:widowControl/>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（三）擅自更改考试评分标准或者不按评分标准进行评卷的；</w:t>
      </w:r>
    </w:p>
    <w:p>
      <w:pPr>
        <w:widowControl/>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（四）监管不严，导致考场出现大面积作弊现象的；</w:t>
      </w:r>
    </w:p>
    <w:p>
      <w:pPr>
        <w:widowControl/>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（五）玩忽职守，造成不良影响的；</w:t>
      </w:r>
    </w:p>
    <w:p>
      <w:pPr>
        <w:widowControl/>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（六）其他严重违纪违规行为。</w:t>
      </w:r>
    </w:p>
    <w:p>
      <w:pPr>
        <w:widowControl/>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第四章    处理程序</w:t>
      </w:r>
    </w:p>
    <w:p>
      <w:pPr>
        <w:widowControl/>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xml:space="preserve">　　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 </w:t>
      </w:r>
    </w:p>
    <w:p>
      <w:pPr>
        <w:widowControl/>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widowControl/>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对应聘人员违纪违规行为作出处理决定的，应当制作公开招聘违纪违规行为处理决定书，依法送达被处理的应聘人员。</w:t>
      </w:r>
    </w:p>
    <w:p>
      <w:pPr>
        <w:widowControl/>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第二十条  应聘人员对处理决定不服的，可以依法申请行政复议或者提起行政诉讼。</w:t>
      </w:r>
    </w:p>
    <w:p>
      <w:pPr>
        <w:widowControl/>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第二十一条  参与公开招聘的工作人员对因违纪违规行为受到处分不服的，可以依法申请复核或者提出申诉。</w:t>
      </w:r>
    </w:p>
    <w:p>
      <w:pPr>
        <w:widowControl/>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第五章       附    则</w:t>
      </w:r>
    </w:p>
    <w:p>
      <w:pPr>
        <w:widowControl/>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第二十二条   本规定自2018年1月1日起施行。</w:t>
      </w:r>
    </w:p>
    <w:p/>
    <w:p>
      <w:pPr>
        <w:rPr>
          <w:rFonts w:hint="default"/>
          <w:lang w:val="en-US" w:eastAsia="zh-CN"/>
        </w:rPr>
      </w:pPr>
      <w:bookmarkStart w:id="0" w:name="_GoBack"/>
      <w:bookmarkEnd w:id="0"/>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SourceHanSansCN">
    <w:altName w:val="Segoe Print"/>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altName w:val="黑体"/>
    <w:panose1 w:val="02010601030101010101"/>
    <w:charset w:val="86"/>
    <w:family w:val="script"/>
    <w:pitch w:val="default"/>
    <w:sig w:usb0="00000000" w:usb1="00000000" w:usb2="00000000" w:usb3="00000000" w:csb0="00040000" w:csb1="00000000"/>
  </w:font>
  <w:font w:name="Microsoft YaHei UI">
    <w:panose1 w:val="020B0503020204020204"/>
    <w:charset w:val="86"/>
    <w:family w:val="auto"/>
    <w:pitch w:val="default"/>
    <w:sig w:usb0="80000287" w:usb1="2ACF3C50" w:usb2="00000016" w:usb3="00000000" w:csb0="0004001F" w:csb1="00000000"/>
  </w:font>
  <w:font w:name="华文仿宋">
    <w:altName w:val="仿宋"/>
    <w:panose1 w:val="02010600040101010101"/>
    <w:charset w:val="86"/>
    <w:family w:val="auto"/>
    <w:pitch w:val="default"/>
    <w:sig w:usb0="00000000" w:usb1="00000000" w:usb2="00000000" w:usb3="00000000" w:csb0="0004009F" w:csb1="DFD70000"/>
  </w:font>
  <w:font w:name="Helvetica">
    <w:altName w:val="Arial"/>
    <w:panose1 w:val="00000000000000000000"/>
    <w:charset w:val="00"/>
    <w:family w:val="auto"/>
    <w:pitch w:val="default"/>
    <w:sig w:usb0="00000000" w:usb1="00000000" w:usb2="00000000" w:usb3="00000000" w:csb0="00000000" w:csb1="00000000"/>
  </w:font>
  <w:font w:name="方正黑体简体">
    <w:altName w:val="微软雅黑"/>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yNTY5ZTg4M2YwOWJjMjE4OWM4ZmZiZTc1YWVkMjIifQ=="/>
  </w:docVars>
  <w:rsids>
    <w:rsidRoot w:val="662F746F"/>
    <w:rsid w:val="070457D8"/>
    <w:rsid w:val="110E74A6"/>
    <w:rsid w:val="170B4961"/>
    <w:rsid w:val="23827D58"/>
    <w:rsid w:val="34EF250C"/>
    <w:rsid w:val="3E2402B3"/>
    <w:rsid w:val="51AA1A22"/>
    <w:rsid w:val="56192986"/>
    <w:rsid w:val="63ED05CF"/>
    <w:rsid w:val="65C66BA4"/>
    <w:rsid w:val="662F746F"/>
    <w:rsid w:val="7950654F"/>
    <w:rsid w:val="7E8678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styleId="9">
    <w:name w:val="page number"/>
    <w:basedOn w:val="7"/>
    <w:uiPriority w:val="0"/>
  </w:style>
  <w:style w:type="character" w:styleId="10">
    <w:name w:val="FollowedHyperlink"/>
    <w:basedOn w:val="7"/>
    <w:uiPriority w:val="0"/>
    <w:rPr>
      <w:color w:val="800080"/>
      <w:u w:val="none"/>
    </w:rPr>
  </w:style>
  <w:style w:type="character" w:styleId="11">
    <w:name w:val="HTML Definition"/>
    <w:basedOn w:val="7"/>
    <w:uiPriority w:val="0"/>
  </w:style>
  <w:style w:type="character" w:styleId="12">
    <w:name w:val="HTML Typewriter"/>
    <w:basedOn w:val="7"/>
    <w:uiPriority w:val="0"/>
    <w:rPr>
      <w:rFonts w:ascii="monospace" w:hAnsi="monospace" w:eastAsia="monospace" w:cs="monospace"/>
      <w:sz w:val="20"/>
    </w:rPr>
  </w:style>
  <w:style w:type="character" w:styleId="13">
    <w:name w:val="HTML Acronym"/>
    <w:basedOn w:val="7"/>
    <w:uiPriority w:val="0"/>
    <w:rPr>
      <w:bdr w:val="none" w:color="auto" w:sz="0" w:space="0"/>
    </w:rPr>
  </w:style>
  <w:style w:type="character" w:styleId="14">
    <w:name w:val="HTML Variable"/>
    <w:basedOn w:val="7"/>
    <w:uiPriority w:val="0"/>
  </w:style>
  <w:style w:type="character" w:styleId="15">
    <w:name w:val="Hyperlink"/>
    <w:basedOn w:val="7"/>
    <w:uiPriority w:val="0"/>
    <w:rPr>
      <w:color w:val="0000FF"/>
      <w:u w:val="none"/>
    </w:rPr>
  </w:style>
  <w:style w:type="character" w:styleId="16">
    <w:name w:val="HTML Code"/>
    <w:basedOn w:val="7"/>
    <w:uiPriority w:val="0"/>
    <w:rPr>
      <w:rFonts w:hint="default" w:ascii="monospace" w:hAnsi="monospace" w:eastAsia="monospace" w:cs="monospace"/>
      <w:sz w:val="20"/>
      <w:bdr w:val="none" w:color="auto" w:sz="0" w:space="0"/>
    </w:rPr>
  </w:style>
  <w:style w:type="character" w:styleId="17">
    <w:name w:val="HTML Cite"/>
    <w:basedOn w:val="7"/>
    <w:uiPriority w:val="0"/>
  </w:style>
  <w:style w:type="character" w:styleId="18">
    <w:name w:val="HTML Keyboard"/>
    <w:basedOn w:val="7"/>
    <w:uiPriority w:val="0"/>
    <w:rPr>
      <w:rFonts w:hint="default" w:ascii="monospace" w:hAnsi="monospace" w:eastAsia="monospace" w:cs="monospace"/>
      <w:sz w:val="20"/>
    </w:rPr>
  </w:style>
  <w:style w:type="character" w:styleId="19">
    <w:name w:val="HTML Sample"/>
    <w:basedOn w:val="7"/>
    <w:uiPriority w:val="0"/>
    <w:rPr>
      <w:rFonts w:hint="default" w:ascii="monospace" w:hAnsi="monospace" w:eastAsia="monospace" w:cs="monospace"/>
    </w:rPr>
  </w:style>
  <w:style w:type="character" w:customStyle="1" w:styleId="20">
    <w:name w:val="first-child"/>
    <w:basedOn w:val="7"/>
    <w:uiPriority w:val="0"/>
    <w:rPr>
      <w:bdr w:val="none" w:color="auto" w:sz="0" w:space="0"/>
    </w:rPr>
  </w:style>
  <w:style w:type="character" w:customStyle="1" w:styleId="21">
    <w:name w:val="layui-layer-tabnow"/>
    <w:basedOn w:val="7"/>
    <w:uiPriority w:val="0"/>
    <w:rPr>
      <w:bdr w:val="single" w:color="CCCCCC" w:sz="4" w:space="0"/>
      <w:shd w:val="clear" w:fill="FFFFF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2022-08-23T00:55:00Z</dcterms:created>
  <dc:creator>Administrator</dc:creator>
  <cp:lastModifiedBy>Administrator</cp:lastModifiedBy>
  <dcterms:modified xsi:type="dcterms:W3CDTF">2022-08-23T02:11:36Z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859DE3EA00B54045A7640AFC5045819C</vt:lpwstr>
  </property>
</Properties>
</file>