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招聘岗位</w:t>
      </w:r>
    </w:p>
    <w:tbl>
      <w:tblPr>
        <w:tblW w:w="1056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1092"/>
        <w:gridCol w:w="576"/>
        <w:gridCol w:w="1044"/>
        <w:gridCol w:w="1440"/>
        <w:gridCol w:w="1992"/>
        <w:gridCol w:w="2088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编制备案制招聘岗位表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科室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岗位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人数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年龄要求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学历要求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专业要求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资质要求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眼科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眼科学（105111）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取得执业医师资格证，执业范围为眼耳鼻喉科专业。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耳鼻喉科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耳鼻咽喉科学（105112）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取得执业医师资格证，执业范围为眼耳鼻喉科专业。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肿瘤科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肿瘤学（105113）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取得执业医师资格证，执业范围为内科专业。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放疗中心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肿瘤学（105113）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取得执业医师资格证，执业范围为内科专业。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中医科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中医内科学（105118）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中医外科学（105119）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中西医结合临床（105126）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中医五官科学（105123）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取得执业医师资格证，执业范围为中医专业。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神经内科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内科学（105101）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取得执业医师资格证，执业范围为内科专业，有介入基础。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心血管内科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内科学（105101）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取得执业医师资格证，执业范围为内科专业。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医师（介入方向）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临床医学（100201K）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取得执业医师资格证，执业范围为内科专业。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骨科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外科学（105109）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取得执业医师资格证，执业范围为外科专业。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全科医学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临床医学（100201K）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取得执业医师资格证，执业范围为全科医学科专业或内科专业。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妇产科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临床医学（100201K）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取得执业医师资格证，执业范围为妇产科专业。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儿科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临床医学（100201K）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取得执业医师资格证，执业范围为儿科专业。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新生儿科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临床医学（100201K）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取得执业医师资格证，执业范围为儿科专业或内科专业。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麻醉科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麻醉学（105116）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取得执业医师资格证及麻醉专业规培结业证，执业范围为外科专业。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泌尿外科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临床医学（100201K）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取得执业医师资格证，执业范围为外科专业。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南区ICU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临床医学（100201K）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取得执业医师资格证，执业范围为重症医学科专业、内科专业、外科专业。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南区急诊科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临床医学（100201K）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取得执业医师资格证，执业范围为内科专业或全科医学科专业。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院前急救中心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临床医学（100201K）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取得执业医师资格证，执业范围为内科专业或全科医学科专业。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感染科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临床医学（100201K）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取得执业医师资格证，执业范围为内科专业。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风湿免疫科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临床医学（100201K）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取得执业医师资格证，执业范围为内科专业。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影像中心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放射诊断医师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影像医学与核医学（105107）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取得执业医师资格证，执业范围为医学影像和放射治疗专业。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B超室医师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医学影像学（100203TK）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临床医学（100201K）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取得执业医师资格证，执业范围为医学影像和放射治疗专业。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取得对应专业中级职称可酌情放宽年龄。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康复科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技师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康复治疗学（101005）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运动康复（040206T）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核医学科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技师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医学检验技术（101001）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检验科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技师（核酸基地）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医学检验技术（101001）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技师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25周岁及以下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大专及以上学历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医学检验技术（620401）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病理科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技师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25周岁及以下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大专及以上学历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医学检验技术（620401）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输血科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技师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25周岁及以下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大专及以上学历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医学检验技术（620401）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药剂科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药师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25周岁及以下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大专及以上学历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药学（620301）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社区卫生服务中心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健康管理师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25周岁及以下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大专及以上学历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健康管理（620801）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核审办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职员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财务管理（120204）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会计类（120203K）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宣传科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职员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新闻传播学类（0503）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中国语言文学类（0501）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艺术设计学（130501）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党办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职员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新闻传播学类（0503）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中国语言文学类（0501）</w:t>
            </w:r>
          </w:p>
        </w:tc>
        <w:tc>
          <w:tcPr>
            <w:tcW w:w="20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限中共党员或中共预备党员报考。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报考说明：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1.符合报名条件的应届毕业生执业范围可为空。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lang w:val="en-US" w:eastAsia="zh-CN" w:bidi="ar"/>
        </w:rPr>
        <w:t>2.对应报考专业规培基地规培的在培人员，执业范围可为空。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31" w:right="1418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鐎瑰锟斤拷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思源黑体SC-Ligh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3792CCF"/>
    <w:rsid w:val="01793649"/>
    <w:rsid w:val="08EE39F3"/>
    <w:rsid w:val="31E869D0"/>
    <w:rsid w:val="336D4280"/>
    <w:rsid w:val="3F782388"/>
    <w:rsid w:val="43792CCF"/>
    <w:rsid w:val="470A1A79"/>
    <w:rsid w:val="4A0F4B9D"/>
    <w:rsid w:val="4A541B2B"/>
    <w:rsid w:val="4BB43B70"/>
    <w:rsid w:val="6E2E216C"/>
    <w:rsid w:val="75A906CD"/>
    <w:rsid w:val="7D2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0">
    <w:name w:val="active"/>
    <w:basedOn w:val="6"/>
    <w:uiPriority w:val="0"/>
    <w:rPr>
      <w:shd w:val="clear" w:fill="0A81D6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3">
    <w:name w:val="font0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51"/>
    <w:basedOn w:val="6"/>
    <w:qFormat/>
    <w:uiPriority w:val="0"/>
    <w:rPr>
      <w:rFonts w:hint="eastAsia" w:ascii="华文中宋" w:hAnsi="华文中宋" w:eastAsia="华文中宋" w:cs="华文中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2022-08-09T00:42:00Z</dcterms:created>
  <dc:creator>Administrator</dc:creator>
  <cp:lastModifiedBy>Administrator</cp:lastModifiedBy>
  <dcterms:modified xsi:type="dcterms:W3CDTF">2022-08-09T02:24:29Z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814872E0C83448A9AC72599BEAF4D102</vt:lpwstr>
  </property>
</Properties>
</file>