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32"/>
        </w:rPr>
      </w:pPr>
      <w:r>
        <w:rPr>
          <w:rFonts w:hint="eastAsia" w:ascii="黑体" w:hAnsi="黑体" w:eastAsia="黑体"/>
          <w:sz w:val="32"/>
          <w:szCs w:val="32"/>
        </w:rPr>
        <w:t>附件3</w:t>
      </w:r>
    </w:p>
    <w:p>
      <w:pPr>
        <w:pStyle w:val="2"/>
        <w:spacing w:line="240" w:lineRule="exact"/>
        <w:jc w:val="center"/>
        <w:rPr>
          <w:rFonts w:hint="eastAsia" w:ascii="方正小标宋_GBK" w:hAnsi="黑体" w:eastAsia="方正小标宋_GBK"/>
          <w:sz w:val="44"/>
          <w:szCs w:val="44"/>
        </w:rPr>
      </w:pPr>
    </w:p>
    <w:p>
      <w:pPr>
        <w:spacing w:line="586" w:lineRule="exact"/>
        <w:jc w:val="center"/>
        <w:rPr>
          <w:rFonts w:hint="eastAsia" w:ascii="方正小标宋_GBK" w:hAnsi="Courier New" w:eastAsia="方正小标宋_GBK" w:cs="Courier New"/>
          <w:sz w:val="36"/>
          <w:szCs w:val="36"/>
        </w:rPr>
      </w:pPr>
      <w:r>
        <w:rPr>
          <w:rFonts w:hint="eastAsia" w:ascii="方正小标宋_GBK" w:hAnsi="Courier New" w:eastAsia="方正小标宋_GBK" w:cs="Courier New"/>
          <w:sz w:val="36"/>
          <w:szCs w:val="36"/>
        </w:rPr>
        <w:t>202</w:t>
      </w:r>
      <w:r>
        <w:rPr>
          <w:rFonts w:hint="eastAsia" w:ascii="方正小标宋_GBK" w:hAnsi="Courier New" w:eastAsia="方正小标宋_GBK" w:cs="Courier New"/>
          <w:sz w:val="36"/>
          <w:szCs w:val="36"/>
          <w:lang w:val="en-US" w:eastAsia="zh-CN"/>
        </w:rPr>
        <w:t>2</w:t>
      </w:r>
      <w:r>
        <w:rPr>
          <w:rFonts w:hint="eastAsia" w:ascii="方正小标宋_GBK" w:hAnsi="Courier New" w:eastAsia="方正小标宋_GBK" w:cs="Courier New"/>
          <w:sz w:val="36"/>
          <w:szCs w:val="36"/>
        </w:rPr>
        <w:t>年度桂林市妇女儿童医院</w:t>
      </w:r>
    </w:p>
    <w:p>
      <w:pPr>
        <w:spacing w:line="586" w:lineRule="exact"/>
        <w:jc w:val="center"/>
        <w:rPr>
          <w:rFonts w:hint="eastAsia" w:ascii="方正小标宋_GBK" w:hAnsi="Courier New" w:eastAsia="方正小标宋_GBK" w:cs="Courier New"/>
          <w:sz w:val="36"/>
          <w:szCs w:val="36"/>
        </w:rPr>
      </w:pPr>
      <w:r>
        <w:rPr>
          <w:rFonts w:hint="eastAsia" w:ascii="方正小标宋_GBK" w:hAnsi="Courier New" w:eastAsia="方正小标宋_GBK" w:cs="Courier New"/>
          <w:sz w:val="36"/>
          <w:szCs w:val="36"/>
        </w:rPr>
        <w:t>直接考核公开招聘高层次专业技术人员评分细则</w:t>
      </w:r>
    </w:p>
    <w:p>
      <w:pPr>
        <w:spacing w:line="400" w:lineRule="exact"/>
        <w:jc w:val="center"/>
        <w:rPr>
          <w:rFonts w:hint="eastAsia" w:ascii="方正小标宋_GBK" w:hAnsi="Courier New" w:eastAsia="方正小标宋_GBK" w:cs="Courier New"/>
          <w:sz w:val="36"/>
          <w:szCs w:val="36"/>
        </w:rPr>
      </w:pPr>
    </w:p>
    <w:p>
      <w:pPr>
        <w:spacing w:line="586"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年度桂林市妇女儿童医院直接考核公开招聘高层次专业技术人员的考核标准采取量化考核评分。具体量化内容及评分标准如下：</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一、面试（40分）</w:t>
      </w:r>
    </w:p>
    <w:p>
      <w:pPr>
        <w:spacing w:line="586" w:lineRule="exact"/>
        <w:ind w:firstLine="640" w:firstLineChars="200"/>
        <w:jc w:val="left"/>
        <w:rPr>
          <w:rFonts w:hint="eastAsia" w:ascii="仿宋_GB2312" w:hAnsi="Times New Roman" w:eastAsia="仿宋_GB2312"/>
          <w:sz w:val="32"/>
          <w:szCs w:val="32"/>
        </w:rPr>
      </w:pPr>
      <w:r>
        <w:rPr>
          <w:rFonts w:hint="eastAsia" w:ascii="仿宋_GB2312" w:hAnsi="Times New Roman" w:eastAsia="仿宋_GB2312"/>
          <w:sz w:val="32"/>
          <w:szCs w:val="32"/>
        </w:rPr>
        <w:t>医院考核组根据报名人员的业绩成果、工作经历、与岗位的匹配度等情况综合评价，面试评分。</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二、学历分（20分）</w:t>
      </w:r>
    </w:p>
    <w:p>
      <w:pPr>
        <w:spacing w:line="586" w:lineRule="exact"/>
        <w:ind w:firstLine="640" w:firstLineChars="200"/>
        <w:rPr>
          <w:rFonts w:hint="eastAsia" w:ascii="仿宋_GB2312" w:hAnsi="Times New Roman" w:eastAsia="仿宋_GB2312"/>
          <w:spacing w:val="-14"/>
          <w:sz w:val="32"/>
          <w:szCs w:val="32"/>
        </w:rPr>
      </w:pPr>
      <w:r>
        <w:rPr>
          <w:rFonts w:hint="eastAsia" w:ascii="仿宋_GB2312" w:hAnsi="Times New Roman" w:eastAsia="仿宋_GB2312"/>
          <w:sz w:val="32"/>
          <w:szCs w:val="32"/>
        </w:rPr>
        <w:t>博士研究生20分，全日制</w:t>
      </w:r>
      <w:r>
        <w:rPr>
          <w:rFonts w:hint="eastAsia" w:ascii="仿宋_GB2312" w:hAnsi="Times New Roman" w:eastAsia="仿宋_GB2312"/>
          <w:bCs/>
          <w:sz w:val="32"/>
          <w:szCs w:val="32"/>
        </w:rPr>
        <w:t>硕士研究生18分，</w:t>
      </w:r>
      <w:r>
        <w:rPr>
          <w:rFonts w:hint="eastAsia" w:ascii="仿宋_GB2312" w:hAnsi="Times New Roman" w:eastAsia="仿宋_GB2312"/>
          <w:spacing w:val="-14"/>
          <w:sz w:val="32"/>
          <w:szCs w:val="32"/>
        </w:rPr>
        <w:t>非</w:t>
      </w:r>
      <w:r>
        <w:rPr>
          <w:rFonts w:hint="eastAsia" w:ascii="仿宋_GB2312" w:hAnsi="Times New Roman" w:eastAsia="仿宋_GB2312"/>
          <w:sz w:val="32"/>
          <w:szCs w:val="32"/>
        </w:rPr>
        <w:t>全日制</w:t>
      </w:r>
      <w:r>
        <w:rPr>
          <w:rFonts w:hint="eastAsia" w:ascii="仿宋_GB2312" w:hAnsi="Times New Roman" w:eastAsia="仿宋_GB2312"/>
          <w:bCs/>
          <w:sz w:val="32"/>
          <w:szCs w:val="32"/>
        </w:rPr>
        <w:t>硕士研究生16分，</w:t>
      </w:r>
      <w:r>
        <w:rPr>
          <w:rFonts w:hint="eastAsia" w:ascii="仿宋_GB2312" w:hAnsi="Times New Roman" w:eastAsia="仿宋_GB2312"/>
          <w:sz w:val="32"/>
          <w:szCs w:val="32"/>
        </w:rPr>
        <w:t>全日制</w:t>
      </w:r>
      <w:r>
        <w:rPr>
          <w:rFonts w:hint="eastAsia" w:ascii="仿宋_GB2312" w:hAnsi="Times New Roman" w:eastAsia="仿宋_GB2312"/>
          <w:spacing w:val="-14"/>
          <w:sz w:val="32"/>
          <w:szCs w:val="32"/>
        </w:rPr>
        <w:t>本科</w:t>
      </w:r>
      <w:r>
        <w:rPr>
          <w:rFonts w:hint="eastAsia" w:ascii="仿宋_GB2312" w:hAnsi="Times New Roman" w:eastAsia="仿宋_GB2312"/>
          <w:sz w:val="32"/>
          <w:szCs w:val="32"/>
        </w:rPr>
        <w:t>学历14</w:t>
      </w:r>
      <w:r>
        <w:rPr>
          <w:rFonts w:hint="eastAsia" w:ascii="仿宋_GB2312" w:hAnsi="Times New Roman" w:eastAsia="仿宋_GB2312"/>
          <w:spacing w:val="-14"/>
          <w:sz w:val="32"/>
          <w:szCs w:val="32"/>
        </w:rPr>
        <w:t>分，非全日制本科12分。</w:t>
      </w:r>
    </w:p>
    <w:p>
      <w:pPr>
        <w:spacing w:line="586" w:lineRule="exact"/>
        <w:ind w:firstLine="608" w:firstLineChars="200"/>
        <w:rPr>
          <w:rFonts w:hint="eastAsia" w:ascii="黑体" w:hAnsi="黑体" w:eastAsia="黑体"/>
          <w:sz w:val="32"/>
          <w:szCs w:val="32"/>
        </w:rPr>
      </w:pPr>
      <w:r>
        <w:rPr>
          <w:rFonts w:hint="eastAsia" w:ascii="黑体" w:hAnsi="黑体" w:eastAsia="黑体"/>
          <w:bCs/>
          <w:spacing w:val="-8"/>
          <w:sz w:val="32"/>
          <w:szCs w:val="32"/>
        </w:rPr>
        <w:t>三</w:t>
      </w:r>
      <w:r>
        <w:rPr>
          <w:rFonts w:hint="eastAsia" w:ascii="黑体" w:hAnsi="黑体" w:eastAsia="黑体"/>
          <w:sz w:val="32"/>
          <w:szCs w:val="32"/>
        </w:rPr>
        <w:t>、技术职称分（20分）</w:t>
      </w:r>
    </w:p>
    <w:p>
      <w:pPr>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（一）正高职称</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分，副高职称</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分。</w:t>
      </w:r>
    </w:p>
    <w:p>
      <w:pPr>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（二）取得高级职称每年得1分，不满六个月按半年计算得0.5分，满六个月不满一年按一年计算得1分</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满分为10分</w:t>
      </w:r>
      <w:r>
        <w:rPr>
          <w:rFonts w:hint="eastAsia" w:ascii="仿宋_GB2312" w:hAnsi="Times New Roman" w:eastAsia="仿宋_GB2312"/>
          <w:sz w:val="32"/>
          <w:szCs w:val="32"/>
        </w:rPr>
        <w:t>。</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四、从事本专业工作年限分（20分）</w:t>
      </w:r>
    </w:p>
    <w:p>
      <w:pPr>
        <w:spacing w:line="586"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在三级医院及以上工作5年及以上20分、3-5年18分、3年以下16分；在二级医院及以下工作的不得分。若在多个工作单位过，则以最高级别单位计算。</w:t>
      </w:r>
    </w:p>
    <w:p>
      <w:pPr>
        <w:pStyle w:val="8"/>
        <w:widowControl/>
        <w:spacing w:before="0" w:beforeAutospacing="0" w:after="0" w:afterAutospacing="0" w:line="586" w:lineRule="exact"/>
        <w:ind w:firstLine="640" w:firstLineChars="200"/>
        <w:jc w:val="both"/>
        <w:rPr>
          <w:rFonts w:hint="eastAsia" w:ascii="仿宋_GB2312" w:hAnsi="黑体" w:eastAsia="仿宋_GB2312"/>
          <w:bCs/>
          <w:sz w:val="32"/>
          <w:szCs w:val="32"/>
        </w:rPr>
      </w:pPr>
      <w:r>
        <w:rPr>
          <w:rFonts w:hint="eastAsia" w:ascii="仿宋_GB2312" w:hAnsi="黑体" w:eastAsia="仿宋_GB2312"/>
          <w:bCs/>
          <w:sz w:val="32"/>
          <w:szCs w:val="32"/>
        </w:rPr>
        <w:t>本次招聘量化评分考核细则，年限计算截止日期202</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年</w:t>
      </w:r>
      <w:r>
        <w:rPr>
          <w:rFonts w:hint="eastAsia" w:ascii="仿宋_GB2312" w:hAnsi="黑体" w:eastAsia="仿宋_GB2312"/>
          <w:bCs/>
          <w:sz w:val="32"/>
          <w:szCs w:val="32"/>
          <w:lang w:val="en-US" w:eastAsia="zh-CN"/>
        </w:rPr>
        <w:t>X</w:t>
      </w:r>
      <w:r>
        <w:rPr>
          <w:rFonts w:hint="eastAsia" w:ascii="仿宋_GB2312" w:hAnsi="黑体" w:eastAsia="仿宋_GB2312"/>
          <w:bCs/>
          <w:sz w:val="32"/>
          <w:szCs w:val="32"/>
        </w:rPr>
        <w:t>月</w:t>
      </w:r>
      <w:r>
        <w:rPr>
          <w:rFonts w:hint="eastAsia" w:ascii="仿宋_GB2312" w:hAnsi="黑体" w:eastAsia="仿宋_GB2312"/>
          <w:bCs/>
          <w:sz w:val="32"/>
          <w:szCs w:val="32"/>
          <w:lang w:val="en-US" w:eastAsia="zh-CN"/>
        </w:rPr>
        <w:t>X</w:t>
      </w:r>
      <w:r>
        <w:rPr>
          <w:rFonts w:hint="eastAsia" w:ascii="仿宋_GB2312" w:hAnsi="黑体" w:eastAsia="仿宋_GB2312"/>
          <w:bCs/>
          <w:sz w:val="32"/>
          <w:szCs w:val="32"/>
        </w:rPr>
        <w:t>日，年限按足年足月累计。考核总分满分为100分，考核总分70分及以上为合格，70分以下为不合格；同一岗位有2人及以上报名的，录取最高分者。</w:t>
      </w:r>
    </w:p>
    <w:p>
      <w:pPr>
        <w:pStyle w:val="8"/>
        <w:widowControl/>
        <w:spacing w:before="0" w:beforeAutospacing="0" w:after="0" w:afterAutospacing="0" w:line="586" w:lineRule="exact"/>
        <w:jc w:val="both"/>
        <w:rPr>
          <w:rFonts w:hint="eastAsia" w:ascii="仿宋_GB2312" w:hAnsi="黑体" w:eastAsia="仿宋_GB2312"/>
          <w:sz w:val="32"/>
          <w:szCs w:val="32"/>
        </w:rPr>
      </w:pPr>
    </w:p>
    <w:p>
      <w:bookmarkStart w:id="0" w:name="_GoBack"/>
      <w:bookmarkEnd w:id="0"/>
    </w:p>
    <w:sectPr>
      <w:footerReference r:id="rId3" w:type="default"/>
      <w:footerReference r:id="rId4" w:type="even"/>
      <w:pgSz w:w="11906" w:h="16838"/>
      <w:pgMar w:top="2098" w:right="1474" w:bottom="1985" w:left="1588"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瀹嬩綋">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_GB2312">
    <w:altName w:val="宋体"/>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方正仿宋_gbk">
    <w:altName w:val="仿宋"/>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13"/>
        <w:rFonts w:hint="eastAsia" w:ascii="仿宋_GB2312"/>
        <w:sz w:val="28"/>
        <w:szCs w:val="28"/>
      </w:rPr>
      <w:instrText xml:space="preserve"> PAGE </w:instrText>
    </w:r>
    <w:r>
      <w:rPr>
        <w:rFonts w:hint="eastAsia" w:ascii="仿宋_GB2312"/>
        <w:sz w:val="28"/>
        <w:szCs w:val="28"/>
      </w:rPr>
      <w:fldChar w:fldCharType="separate"/>
    </w:r>
    <w:r>
      <w:rPr>
        <w:rStyle w:val="13"/>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5"/>
      <w:rPr>
        <w:sz w:val="28"/>
      </w:rPr>
    </w:pPr>
    <w:r>
      <w:rPr>
        <w:rFonts w:hint="eastAsia" w:ascii="仿宋_GB2312"/>
        <w:sz w:val="28"/>
      </w:rPr>
      <w:t>-</w:t>
    </w:r>
    <w:r>
      <w:rPr>
        <w:sz w:val="28"/>
      </w:rPr>
      <w:fldChar w:fldCharType="begin"/>
    </w:r>
    <w:r>
      <w:rPr>
        <w:rStyle w:val="13"/>
        <w:sz w:val="28"/>
      </w:rPr>
      <w:instrText xml:space="preserve"> PAGE </w:instrText>
    </w:r>
    <w:r>
      <w:rPr>
        <w:sz w:val="28"/>
      </w:rPr>
      <w:fldChar w:fldCharType="separate"/>
    </w:r>
    <w:r>
      <w:rPr>
        <w:rStyle w:val="13"/>
        <w:sz w:val="28"/>
      </w:rPr>
      <w:t>2</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26F4810"/>
    <w:rsid w:val="01B2526D"/>
    <w:rsid w:val="044414A2"/>
    <w:rsid w:val="04F93524"/>
    <w:rsid w:val="0BA767AC"/>
    <w:rsid w:val="0EB56478"/>
    <w:rsid w:val="0FF76926"/>
    <w:rsid w:val="111A2483"/>
    <w:rsid w:val="18CA395B"/>
    <w:rsid w:val="1DFB650C"/>
    <w:rsid w:val="20366C42"/>
    <w:rsid w:val="224B494B"/>
    <w:rsid w:val="22B03259"/>
    <w:rsid w:val="25CF235C"/>
    <w:rsid w:val="26045BDB"/>
    <w:rsid w:val="2EEA2677"/>
    <w:rsid w:val="350460B2"/>
    <w:rsid w:val="3EF820AE"/>
    <w:rsid w:val="43672074"/>
    <w:rsid w:val="44DE31D7"/>
    <w:rsid w:val="583F1722"/>
    <w:rsid w:val="588604BD"/>
    <w:rsid w:val="5A3D71F9"/>
    <w:rsid w:val="5C2A418B"/>
    <w:rsid w:val="5EB8609B"/>
    <w:rsid w:val="6008084C"/>
    <w:rsid w:val="60AB187A"/>
    <w:rsid w:val="726F4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 w:type="paragraph" w:styleId="5">
    <w:name w:val="Normal Indent"/>
    <w:basedOn w:val="1"/>
    <w:unhideWhenUsed/>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uiPriority w:val="0"/>
    <w:rPr>
      <w:color w:val="333333"/>
      <w:u w:val="none"/>
    </w:rPr>
  </w:style>
  <w:style w:type="character" w:styleId="15">
    <w:name w:val="Emphasis"/>
    <w:basedOn w:val="11"/>
    <w:qFormat/>
    <w:uiPriority w:val="0"/>
  </w:style>
  <w:style w:type="character" w:styleId="16">
    <w:name w:val="Hyperlink"/>
    <w:basedOn w:val="11"/>
    <w:uiPriority w:val="0"/>
    <w:rPr>
      <w:color w:val="333333"/>
      <w:u w:val="none"/>
    </w:rPr>
  </w:style>
  <w:style w:type="character" w:customStyle="1" w:styleId="17">
    <w:name w:val="NormalCharacter"/>
    <w:qFormat/>
    <w:uiPriority w:val="0"/>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p0"/>
    <w:basedOn w:val="1"/>
    <w:uiPriority w:val="0"/>
    <w:pPr>
      <w:widowControl/>
    </w:pPr>
    <w:rPr>
      <w:kern w:val="0"/>
      <w:szCs w:val="21"/>
    </w:rPr>
  </w:style>
  <w:style w:type="character" w:customStyle="1" w:styleId="20">
    <w:name w:val="15"/>
    <w:basedOn w:val="11"/>
    <w:uiPriority w:val="0"/>
  </w:style>
  <w:style w:type="paragraph" w:customStyle="1" w:styleId="21">
    <w:name w:val="0"/>
    <w:basedOn w:val="1"/>
    <w:qFormat/>
    <w:uiPriority w:val="0"/>
    <w:pPr>
      <w:widowControl/>
      <w:jc w:val="left"/>
    </w:pPr>
    <w:rPr>
      <w:kern w:val="0"/>
      <w:sz w:val="20"/>
    </w:rPr>
  </w:style>
  <w:style w:type="paragraph" w:customStyle="1" w:styleId="22">
    <w:name w:val="WPS Plain"/>
    <w:uiPriority w:val="0"/>
    <w:rPr>
      <w:rFonts w:ascii="Times New Roman" w:hAnsi="Times New Roman" w:eastAsia="宋体" w:cs="Times New Roman"/>
      <w:lang w:val="en-US" w:eastAsia="zh-CN" w:bidi="ar-SA"/>
    </w:rPr>
  </w:style>
  <w:style w:type="paragraph" w:customStyle="1" w:styleId="23">
    <w:name w:val="纯文本3"/>
    <w:basedOn w:val="1"/>
    <w:uiPriority w:val="0"/>
    <w:pPr>
      <w:autoSpaceDE w:val="0"/>
      <w:autoSpaceDN w:val="0"/>
      <w:adjustRightInd w:val="0"/>
      <w:textAlignment w:val="baseline"/>
    </w:pPr>
    <w:rPr>
      <w:rFonts w:ascii="宋体" w:hAnsi="Times New Roman"/>
      <w:sz w:val="20"/>
      <w:szCs w:val="20"/>
    </w:rPr>
  </w:style>
  <w:style w:type="paragraph" w:customStyle="1" w:styleId="24">
    <w:name w:val="纯文本1"/>
    <w:basedOn w:val="1"/>
    <w:uiPriority w:val="0"/>
    <w:pPr>
      <w:autoSpaceDE w:val="0"/>
      <w:autoSpaceDN w:val="0"/>
      <w:adjustRightInd w:val="0"/>
      <w:textAlignment w:val="baseline"/>
    </w:pPr>
    <w:rPr>
      <w:rFonts w:ascii="宋体" w:hAnsi="Times New Roman"/>
      <w:sz w:val="20"/>
      <w:szCs w:val="20"/>
    </w:rPr>
  </w:style>
  <w:style w:type="paragraph" w:customStyle="1" w:styleId="25">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2022-07-29T00:47:00Z</dcterms:created>
  <dc:creator>Administrator</dc:creator>
  <cp:lastModifiedBy>Administrator</cp:lastModifiedBy>
  <dcterms:modified xsi:type="dcterms:W3CDTF">2022-07-29T03:13:20Z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88E251110EE649608354ECE7F7DD0B12</vt:lpwstr>
  </property>
</Properties>
</file>