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宋体" w:hAnsi="宋体" w:eastAsia="宋体" w:cs="宋体"/>
          <w:sz w:val="28"/>
          <w:szCs w:val="28"/>
        </w:rPr>
      </w:pPr>
      <w:r>
        <w:rPr>
          <w:rFonts w:hint="eastAsia" w:ascii="宋体" w:hAnsi="宋体" w:eastAsia="宋体" w:cs="宋体"/>
          <w:sz w:val="28"/>
          <w:szCs w:val="28"/>
        </w:rPr>
        <w:t>附件2</w:t>
      </w:r>
    </w:p>
    <w:p>
      <w:pPr>
        <w:jc w:val="center"/>
        <w:rPr>
          <w:rFonts w:hint="eastAsia" w:ascii="黑体" w:eastAsia="黑体"/>
          <w:sz w:val="32"/>
        </w:rPr>
      </w:pPr>
      <w:r>
        <w:rPr>
          <w:rFonts w:hint="eastAsia" w:ascii="黑体" w:eastAsia="黑体"/>
          <w:sz w:val="32"/>
          <w:lang w:eastAsia="zh-CN"/>
        </w:rPr>
        <w:t>资格复审</w:t>
      </w:r>
      <w:r>
        <w:rPr>
          <w:rFonts w:hint="eastAsia" w:ascii="黑体" w:eastAsia="黑体"/>
          <w:sz w:val="32"/>
        </w:rPr>
        <w:t>所需材料清单</w:t>
      </w:r>
    </w:p>
    <w:p>
      <w:pPr>
        <w:jc w:val="center"/>
        <w:rPr>
          <w:rFonts w:hint="eastAsia" w:ascii="黑体" w:eastAsia="黑体"/>
          <w:sz w:val="32"/>
        </w:rPr>
      </w:pPr>
    </w:p>
    <w:tbl>
      <w:tblPr>
        <w:tblStyle w:val="5"/>
        <w:tblW w:w="93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
        <w:gridCol w:w="8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912" w:type="dxa"/>
            <w:noWrap w:val="0"/>
            <w:vAlign w:val="center"/>
          </w:tcPr>
          <w:p>
            <w:pPr>
              <w:spacing w:line="360" w:lineRule="auto"/>
              <w:jc w:val="center"/>
              <w:rPr>
                <w:rFonts w:hint="eastAsia" w:ascii="宋体" w:hAnsi="宋体" w:eastAsia="宋体"/>
                <w:sz w:val="24"/>
                <w:szCs w:val="24"/>
                <w:lang w:eastAsia="zh-CN"/>
              </w:rPr>
            </w:pPr>
            <w:r>
              <w:rPr>
                <w:rFonts w:hint="eastAsia" w:ascii="宋体" w:hAnsi="宋体"/>
                <w:sz w:val="24"/>
                <w:szCs w:val="24"/>
                <w:lang w:eastAsia="zh-CN"/>
              </w:rPr>
              <w:t>序号</w:t>
            </w:r>
          </w:p>
        </w:tc>
        <w:tc>
          <w:tcPr>
            <w:tcW w:w="8486" w:type="dxa"/>
            <w:noWrap w:val="0"/>
            <w:vAlign w:val="center"/>
          </w:tcPr>
          <w:p>
            <w:pPr>
              <w:spacing w:line="360" w:lineRule="auto"/>
              <w:jc w:val="center"/>
              <w:rPr>
                <w:rFonts w:hint="eastAsia" w:ascii="宋体" w:hAnsi="宋体" w:eastAsia="宋体"/>
                <w:sz w:val="24"/>
                <w:szCs w:val="24"/>
                <w:lang w:eastAsia="zh-CN"/>
              </w:rPr>
            </w:pPr>
            <w:r>
              <w:rPr>
                <w:rFonts w:hint="eastAsia" w:ascii="宋体" w:hAnsi="宋体"/>
                <w:sz w:val="24"/>
                <w:szCs w:val="24"/>
                <w:lang w:eastAsia="zh-CN"/>
              </w:rPr>
              <w:t>所需材料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912" w:type="dxa"/>
            <w:noWrap w:val="0"/>
            <w:vAlign w:val="center"/>
          </w:tcPr>
          <w:p>
            <w:pPr>
              <w:spacing w:line="360" w:lineRule="auto"/>
              <w:jc w:val="center"/>
              <w:rPr>
                <w:rFonts w:hint="eastAsia" w:ascii="宋体" w:hAnsi="宋体"/>
                <w:sz w:val="24"/>
                <w:szCs w:val="24"/>
              </w:rPr>
            </w:pPr>
            <w:r>
              <w:rPr>
                <w:rFonts w:hint="eastAsia" w:ascii="宋体" w:hAnsi="宋体"/>
                <w:sz w:val="24"/>
                <w:szCs w:val="24"/>
              </w:rPr>
              <w:t>1</w:t>
            </w:r>
          </w:p>
        </w:tc>
        <w:tc>
          <w:tcPr>
            <w:tcW w:w="8486" w:type="dxa"/>
            <w:noWrap w:val="0"/>
            <w:vAlign w:val="center"/>
          </w:tcPr>
          <w:p>
            <w:pPr>
              <w:spacing w:line="360" w:lineRule="auto"/>
              <w:rPr>
                <w:rFonts w:hint="eastAsia" w:ascii="宋体" w:hAnsi="宋体" w:eastAsia="宋体"/>
                <w:sz w:val="24"/>
                <w:szCs w:val="24"/>
                <w:lang w:eastAsia="zh-CN"/>
              </w:rPr>
            </w:pPr>
            <w:r>
              <w:rPr>
                <w:rFonts w:hint="eastAsia" w:ascii="宋体" w:hAnsi="宋体"/>
                <w:sz w:val="24"/>
                <w:szCs w:val="24"/>
              </w:rPr>
              <w:t>《莲都区教育局202</w:t>
            </w:r>
            <w:r>
              <w:rPr>
                <w:rFonts w:hint="eastAsia" w:ascii="宋体" w:hAnsi="宋体"/>
                <w:sz w:val="24"/>
                <w:szCs w:val="24"/>
                <w:lang w:val="en-US" w:eastAsia="zh-CN"/>
              </w:rPr>
              <w:t>2</w:t>
            </w:r>
            <w:r>
              <w:rPr>
                <w:rFonts w:hint="eastAsia" w:ascii="宋体" w:hAnsi="宋体"/>
                <w:sz w:val="24"/>
                <w:szCs w:val="24"/>
              </w:rPr>
              <w:t>年公开招聘</w:t>
            </w:r>
            <w:r>
              <w:rPr>
                <w:rFonts w:hint="eastAsia" w:ascii="宋体" w:hAnsi="宋体"/>
                <w:sz w:val="24"/>
                <w:szCs w:val="24"/>
                <w:lang w:eastAsia="zh-CN"/>
              </w:rPr>
              <w:t>待聘</w:t>
            </w:r>
            <w:r>
              <w:rPr>
                <w:rFonts w:hint="eastAsia" w:ascii="宋体" w:hAnsi="宋体"/>
                <w:sz w:val="24"/>
                <w:szCs w:val="24"/>
              </w:rPr>
              <w:t>教师报名表》</w:t>
            </w:r>
            <w:r>
              <w:rPr>
                <w:rFonts w:hint="eastAsia" w:ascii="宋体" w:hAnsi="宋体"/>
                <w:sz w:val="24"/>
                <w:szCs w:val="24"/>
                <w:lang w:eastAsia="zh-CN"/>
              </w:rPr>
              <w:t>（附件</w:t>
            </w:r>
            <w:r>
              <w:rPr>
                <w:rFonts w:hint="eastAsia" w:ascii="宋体" w:hAnsi="宋体"/>
                <w:sz w:val="24"/>
                <w:szCs w:val="24"/>
                <w:lang w:val="en-US" w:eastAsia="zh-CN"/>
              </w:rPr>
              <w:t>3</w:t>
            </w:r>
            <w:r>
              <w:rPr>
                <w:rFonts w:hint="eastAsia" w:ascii="宋体" w:hAnsi="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912" w:type="dxa"/>
            <w:noWrap w:val="0"/>
            <w:vAlign w:val="center"/>
          </w:tcPr>
          <w:p>
            <w:pPr>
              <w:spacing w:line="360" w:lineRule="auto"/>
              <w:jc w:val="center"/>
              <w:rPr>
                <w:rFonts w:hint="eastAsia" w:ascii="宋体" w:hAnsi="宋体"/>
                <w:sz w:val="24"/>
                <w:szCs w:val="24"/>
              </w:rPr>
            </w:pPr>
            <w:r>
              <w:rPr>
                <w:rFonts w:hint="eastAsia" w:ascii="宋体" w:hAnsi="宋体"/>
                <w:sz w:val="24"/>
                <w:szCs w:val="24"/>
              </w:rPr>
              <w:t>2</w:t>
            </w:r>
          </w:p>
        </w:tc>
        <w:tc>
          <w:tcPr>
            <w:tcW w:w="8486" w:type="dxa"/>
            <w:noWrap w:val="0"/>
            <w:vAlign w:val="center"/>
          </w:tcPr>
          <w:p>
            <w:pPr>
              <w:spacing w:line="360" w:lineRule="auto"/>
              <w:rPr>
                <w:rFonts w:hint="eastAsia" w:ascii="宋体" w:hAnsi="宋体"/>
                <w:sz w:val="24"/>
                <w:szCs w:val="24"/>
              </w:rPr>
            </w:pPr>
            <w:r>
              <w:rPr>
                <w:rFonts w:hint="eastAsia" w:ascii="宋体" w:hAnsi="宋体"/>
                <w:sz w:val="24"/>
                <w:szCs w:val="24"/>
              </w:rPr>
              <w:t>身份证原件及复印件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912" w:type="dxa"/>
            <w:noWrap w:val="0"/>
            <w:vAlign w:val="center"/>
          </w:tcPr>
          <w:p>
            <w:pPr>
              <w:spacing w:line="360" w:lineRule="auto"/>
              <w:jc w:val="center"/>
              <w:rPr>
                <w:rFonts w:hint="eastAsia" w:ascii="宋体" w:hAnsi="宋体"/>
                <w:sz w:val="24"/>
                <w:szCs w:val="24"/>
              </w:rPr>
            </w:pPr>
            <w:r>
              <w:rPr>
                <w:rFonts w:hint="eastAsia" w:ascii="宋体" w:hAnsi="宋体"/>
                <w:sz w:val="24"/>
                <w:szCs w:val="24"/>
              </w:rPr>
              <w:t>3</w:t>
            </w:r>
          </w:p>
        </w:tc>
        <w:tc>
          <w:tcPr>
            <w:tcW w:w="8486" w:type="dxa"/>
            <w:noWrap w:val="0"/>
            <w:vAlign w:val="center"/>
          </w:tcPr>
          <w:p>
            <w:pPr>
              <w:spacing w:line="360" w:lineRule="auto"/>
              <w:rPr>
                <w:rFonts w:hint="eastAsia" w:ascii="宋体" w:hAnsi="宋体" w:eastAsia="宋体"/>
                <w:sz w:val="24"/>
                <w:szCs w:val="24"/>
                <w:lang w:eastAsia="zh-CN"/>
              </w:rPr>
            </w:pPr>
            <w:r>
              <w:rPr>
                <w:rFonts w:hint="eastAsia" w:ascii="宋体" w:hAnsi="宋体"/>
                <w:sz w:val="24"/>
                <w:szCs w:val="24"/>
              </w:rPr>
              <w:t>户口本原件及复印件</w:t>
            </w:r>
            <w:r>
              <w:rPr>
                <w:rFonts w:hint="eastAsia" w:ascii="宋体" w:hAnsi="宋体"/>
                <w:sz w:val="24"/>
                <w:szCs w:val="24"/>
                <w:lang w:eastAsia="zh-CN"/>
              </w:rPr>
              <w:t>（复印首页和印有本人户口信息的页面）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12" w:type="dxa"/>
            <w:noWrap w:val="0"/>
            <w:vAlign w:val="center"/>
          </w:tcPr>
          <w:p>
            <w:pPr>
              <w:spacing w:line="360" w:lineRule="auto"/>
              <w:jc w:val="center"/>
              <w:rPr>
                <w:rFonts w:hint="eastAsia" w:ascii="宋体" w:hAnsi="宋体"/>
                <w:sz w:val="24"/>
                <w:szCs w:val="24"/>
              </w:rPr>
            </w:pPr>
            <w:r>
              <w:rPr>
                <w:rFonts w:hint="eastAsia" w:ascii="宋体" w:hAnsi="宋体"/>
                <w:sz w:val="24"/>
                <w:szCs w:val="24"/>
              </w:rPr>
              <w:t>4</w:t>
            </w:r>
          </w:p>
        </w:tc>
        <w:tc>
          <w:tcPr>
            <w:tcW w:w="8486" w:type="dxa"/>
            <w:noWrap w:val="0"/>
            <w:vAlign w:val="center"/>
          </w:tcPr>
          <w:p>
            <w:pPr>
              <w:spacing w:line="360" w:lineRule="auto"/>
              <w:rPr>
                <w:rFonts w:hint="eastAsia" w:ascii="宋体" w:hAnsi="宋体"/>
                <w:sz w:val="24"/>
                <w:szCs w:val="24"/>
              </w:rPr>
            </w:pPr>
            <w:r>
              <w:rPr>
                <w:rFonts w:hint="eastAsia" w:ascii="宋体" w:hAnsi="宋体" w:eastAsia="宋体" w:cs="Times New Roman"/>
                <w:sz w:val="24"/>
                <w:szCs w:val="24"/>
                <w:lang w:eastAsia="zh-CN"/>
              </w:rPr>
              <w:t>学历学位证书</w:t>
            </w:r>
            <w:r>
              <w:rPr>
                <w:rFonts w:hint="eastAsia" w:ascii="宋体" w:hAnsi="宋体"/>
                <w:sz w:val="24"/>
                <w:szCs w:val="24"/>
                <w:lang w:eastAsia="zh-CN"/>
              </w:rPr>
              <w:t>（</w:t>
            </w:r>
            <w:r>
              <w:rPr>
                <w:rFonts w:hint="eastAsia" w:ascii="宋体" w:hAnsi="宋体"/>
                <w:sz w:val="24"/>
                <w:szCs w:val="24"/>
                <w:lang w:val="en-US" w:eastAsia="zh-CN"/>
              </w:rPr>
              <w:t>2022年应届毕业生未取得学历学位证书的可提供</w:t>
            </w:r>
            <w:r>
              <w:rPr>
                <w:rFonts w:hint="eastAsia" w:ascii="宋体" w:hAnsi="宋体"/>
                <w:sz w:val="24"/>
                <w:szCs w:val="24"/>
              </w:rPr>
              <w:t>《就业推荐表》、《就业协议书》</w:t>
            </w:r>
            <w:r>
              <w:rPr>
                <w:rFonts w:hint="eastAsia" w:ascii="宋体" w:hAnsi="宋体"/>
                <w:sz w:val="24"/>
                <w:szCs w:val="24"/>
                <w:lang w:eastAsia="zh-CN"/>
              </w:rPr>
              <w:t>）</w:t>
            </w:r>
            <w:r>
              <w:rPr>
                <w:rFonts w:hint="eastAsia" w:ascii="宋体" w:hAnsi="宋体"/>
                <w:sz w:val="24"/>
                <w:szCs w:val="24"/>
              </w:rPr>
              <w:t>原件及复印件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jc w:val="center"/>
        </w:trPr>
        <w:tc>
          <w:tcPr>
            <w:tcW w:w="912" w:type="dxa"/>
            <w:noWrap w:val="0"/>
            <w:vAlign w:val="center"/>
          </w:tcPr>
          <w:p>
            <w:pPr>
              <w:spacing w:line="360" w:lineRule="auto"/>
              <w:jc w:val="center"/>
              <w:rPr>
                <w:rFonts w:hint="eastAsia" w:ascii="宋体" w:hAnsi="宋体"/>
                <w:sz w:val="24"/>
                <w:szCs w:val="24"/>
              </w:rPr>
            </w:pPr>
            <w:r>
              <w:rPr>
                <w:rFonts w:hint="eastAsia" w:ascii="宋体" w:hAnsi="宋体"/>
                <w:sz w:val="24"/>
                <w:szCs w:val="24"/>
              </w:rPr>
              <w:t>5</w:t>
            </w:r>
          </w:p>
        </w:tc>
        <w:tc>
          <w:tcPr>
            <w:tcW w:w="8486" w:type="dxa"/>
            <w:noWrap w:val="0"/>
            <w:vAlign w:val="center"/>
          </w:tcPr>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报考相应学科的教师资格证原件及复印件；</w:t>
            </w:r>
          </w:p>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未取得相应教师资格证的人员，若持有教育部考试中心发放的相应学科教师资格考试合格证明和适用的普通话等级证书（应聘语文教师普通话水平要求二级甲等及以上，应聘其他教师要求二级乙等及以上），也可报名参加应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912" w:type="dxa"/>
            <w:noWrap w:val="0"/>
            <w:vAlign w:val="center"/>
          </w:tcPr>
          <w:p>
            <w:pPr>
              <w:spacing w:line="360" w:lineRule="auto"/>
              <w:jc w:val="center"/>
              <w:rPr>
                <w:rFonts w:hint="eastAsia" w:ascii="宋体" w:hAnsi="宋体"/>
                <w:sz w:val="24"/>
                <w:szCs w:val="24"/>
              </w:rPr>
            </w:pPr>
            <w:r>
              <w:rPr>
                <w:rFonts w:hint="eastAsia" w:ascii="宋体" w:hAnsi="宋体"/>
                <w:sz w:val="24"/>
                <w:szCs w:val="24"/>
              </w:rPr>
              <w:t>6</w:t>
            </w:r>
          </w:p>
        </w:tc>
        <w:tc>
          <w:tcPr>
            <w:tcW w:w="8486" w:type="dxa"/>
            <w:noWrap w:val="0"/>
            <w:vAlign w:val="center"/>
          </w:tcPr>
          <w:p>
            <w:pPr>
              <w:spacing w:line="360" w:lineRule="auto"/>
              <w:rPr>
                <w:rFonts w:hint="eastAsia" w:ascii="宋体" w:hAnsi="宋体" w:eastAsia="宋体"/>
                <w:color w:val="000000"/>
                <w:sz w:val="24"/>
                <w:szCs w:val="24"/>
                <w:lang w:eastAsia="zh-CN"/>
              </w:rPr>
            </w:pPr>
            <w:r>
              <w:rPr>
                <w:rFonts w:hint="eastAsia" w:ascii="宋体" w:hAnsi="宋体" w:cs="宋体"/>
                <w:color w:val="000000"/>
                <w:kern w:val="0"/>
                <w:sz w:val="24"/>
                <w:szCs w:val="24"/>
                <w:shd w:val="clear" w:color="auto" w:fill="FFFFFF"/>
                <w:lang w:eastAsia="zh-CN"/>
              </w:rPr>
              <w:t>个人健康申报表（附件</w:t>
            </w:r>
            <w:r>
              <w:rPr>
                <w:rFonts w:hint="eastAsia" w:ascii="宋体" w:hAnsi="宋体" w:cs="宋体"/>
                <w:color w:val="000000"/>
                <w:kern w:val="0"/>
                <w:sz w:val="24"/>
                <w:szCs w:val="24"/>
                <w:shd w:val="clear" w:color="auto" w:fill="FFFFFF"/>
                <w:lang w:val="en-US" w:eastAsia="zh-CN"/>
              </w:rPr>
              <w:t>4</w:t>
            </w:r>
            <w:r>
              <w:rPr>
                <w:rFonts w:hint="eastAsia" w:ascii="宋体" w:hAnsi="宋体" w:cs="宋体"/>
                <w:color w:val="000000"/>
                <w:kern w:val="0"/>
                <w:sz w:val="24"/>
                <w:szCs w:val="24"/>
                <w:shd w:val="clear" w:color="auto" w:fill="FFFFFF"/>
                <w:lang w:eastAsia="zh-CN"/>
              </w:rPr>
              <w:t>）</w:t>
            </w:r>
          </w:p>
        </w:tc>
      </w:tr>
    </w:tbl>
    <w:p>
      <w:pPr>
        <w:rPr>
          <w:rFonts w:hint="eastAsia"/>
          <w:sz w:val="24"/>
        </w:rPr>
      </w:pPr>
    </w:p>
    <w:p>
      <w:pPr>
        <w:spacing w:line="500" w:lineRule="exact"/>
        <w:rPr>
          <w:rFonts w:hint="eastAsia" w:ascii="黑体" w:hAnsi="黑体" w:eastAsia="黑体" w:cs="黑体"/>
          <w:b w:val="0"/>
          <w:bCs w:val="0"/>
          <w:sz w:val="28"/>
          <w:szCs w:val="28"/>
        </w:rPr>
      </w:pPr>
      <w:r>
        <w:rPr>
          <w:rFonts w:hint="eastAsia" w:ascii="黑体" w:hAnsi="黑体" w:eastAsia="黑体" w:cs="黑体"/>
          <w:b w:val="0"/>
          <w:bCs w:val="0"/>
          <w:sz w:val="28"/>
          <w:szCs w:val="28"/>
        </w:rPr>
        <w:t>注意：</w:t>
      </w:r>
    </w:p>
    <w:p>
      <w:pPr>
        <w:spacing w:line="500" w:lineRule="exact"/>
        <w:jc w:val="left"/>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留学人员及中外合作大学毕业生还应提供教育部中国留学服务中心出具的国外（境外）学历、学位认证书。</w:t>
      </w:r>
    </w:p>
    <w:p>
      <w:pPr>
        <w:spacing w:line="500" w:lineRule="exact"/>
        <w:rPr>
          <w:rFonts w:hint="eastAsia" w:ascii="仿宋" w:hAnsi="仿宋" w:eastAsia="仿宋" w:cs="仿宋"/>
          <w:color w:val="000000"/>
          <w:sz w:val="28"/>
          <w:szCs w:val="28"/>
        </w:rPr>
      </w:pPr>
      <w:r>
        <w:rPr>
          <w:rFonts w:hint="eastAsia" w:ascii="仿宋" w:hAnsi="仿宋" w:eastAsia="仿宋" w:cs="仿宋"/>
          <w:color w:val="000000"/>
          <w:kern w:val="0"/>
          <w:sz w:val="28"/>
          <w:szCs w:val="28"/>
          <w:lang w:val="en-US" w:eastAsia="zh-CN"/>
        </w:rPr>
        <w:t>　</w:t>
      </w:r>
    </w:p>
    <w:p>
      <w:pPr>
        <w:rPr>
          <w:rFonts w:hint="eastAsia"/>
          <w:lang w:eastAsia="zh-CN"/>
        </w:rPr>
      </w:pPr>
      <w:bookmarkStart w:id="0" w:name="_GoBack"/>
      <w:bookmarkEnd w:id="0"/>
    </w:p>
    <w:sectPr>
      <w:headerReference r:id="rId3" w:type="default"/>
      <w:endnotePr>
        <w:numFmt w:val="decimal"/>
      </w:endnotePr>
      <w:pgSz w:w="11906" w:h="16838"/>
      <w:pgMar w:top="851" w:right="1304" w:bottom="851" w:left="1304" w:header="624" w:footer="73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方正楷体_GBK">
    <w:altName w:val="微软雅黑"/>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00006FF" w:usb1="4000205B" w:usb2="00000010" w:usb3="00000000" w:csb0="2000019F" w:csb1="00000000"/>
  </w:font>
  <w:font w:name="方正仿宋_GBK">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Microsoft YaHei UI">
    <w:panose1 w:val="020B0503020204020204"/>
    <w:charset w:val="86"/>
    <w:family w:val="auto"/>
    <w:pitch w:val="default"/>
    <w:sig w:usb0="80000287" w:usb1="2ACF3C50" w:usb2="00000016" w:usb3="00000000" w:csb0="0004001F" w:csb1="00000000"/>
  </w:font>
  <w:font w:name="方正小标宋简体">
    <w:altName w:val="黑体"/>
    <w:panose1 w:val="02010601030101010101"/>
    <w:charset w:val="86"/>
    <w:family w:val="auto"/>
    <w:pitch w:val="default"/>
    <w:sig w:usb0="00000000" w:usb1="00000000" w:usb2="00000000" w:usb3="00000000" w:csb0="00040000" w:csb1="00000000"/>
  </w:font>
  <w:font w:name="Arial">
    <w:panose1 w:val="020B0604020202020204"/>
    <w:charset w:val="00"/>
    <w:family w:val="auto"/>
    <w:pitch w:val="default"/>
    <w:sig w:usb0="E0002EFF" w:usb1="C000785B"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endnotePr>
    <w:numFmt w:val="decimal"/>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yNTY5ZTg4M2YwOWJjMjE4OWM4ZmZiZTc1YWVkMjIifQ=="/>
  </w:docVars>
  <w:rsids>
    <w:rsidRoot w:val="08A57325"/>
    <w:rsid w:val="08A57325"/>
    <w:rsid w:val="11F75697"/>
    <w:rsid w:val="18C93CD6"/>
    <w:rsid w:val="1B8205CB"/>
    <w:rsid w:val="278F239C"/>
    <w:rsid w:val="36380B2B"/>
    <w:rsid w:val="62337DA2"/>
    <w:rsid w:val="7AB71B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Strong"/>
    <w:basedOn w:val="6"/>
    <w:qFormat/>
    <w:uiPriority w:val="0"/>
    <w:rPr>
      <w:b/>
    </w:rPr>
  </w:style>
  <w:style w:type="character" w:styleId="8">
    <w:name w:val="page number"/>
    <w:basedOn w:val="6"/>
    <w:qFormat/>
    <w:uiPriority w:val="0"/>
  </w:style>
  <w:style w:type="character" w:styleId="9">
    <w:name w:val="FollowedHyperlink"/>
    <w:basedOn w:val="6"/>
    <w:uiPriority w:val="0"/>
    <w:rPr>
      <w:color w:val="333333"/>
      <w:u w:val="none"/>
    </w:rPr>
  </w:style>
  <w:style w:type="character" w:styleId="10">
    <w:name w:val="Hyperlink"/>
    <w:basedOn w:val="6"/>
    <w:uiPriority w:val="0"/>
    <w:rPr>
      <w:color w:val="333333"/>
      <w:u w:val="none"/>
    </w:rPr>
  </w:style>
  <w:style w:type="character" w:customStyle="1" w:styleId="11">
    <w:name w:val="name"/>
    <w:basedOn w:val="6"/>
    <w:uiPriority w:val="0"/>
    <w:rPr>
      <w:color w:val="2760B7"/>
    </w:rPr>
  </w:style>
  <w:style w:type="character" w:customStyle="1" w:styleId="12">
    <w:name w:val="hover30"/>
    <w:basedOn w:val="6"/>
    <w:uiPriority w:val="0"/>
    <w:rPr>
      <w:shd w:val="clear" w:fill="FF0000"/>
    </w:rPr>
  </w:style>
  <w:style w:type="character" w:customStyle="1" w:styleId="13">
    <w:name w:val="hover31"/>
    <w:basedOn w:val="6"/>
    <w:uiPriority w:val="0"/>
    <w:rPr>
      <w:shd w:val="clear" w:fill="FF0000"/>
    </w:rPr>
  </w:style>
  <w:style w:type="character" w:customStyle="1" w:styleId="14">
    <w:name w:val="hover32"/>
    <w:basedOn w:val="6"/>
    <w:uiPriority w:val="0"/>
    <w:rPr>
      <w:b/>
      <w:bCs/>
    </w:rPr>
  </w:style>
  <w:style w:type="character" w:customStyle="1" w:styleId="15">
    <w:name w:val="red"/>
    <w:basedOn w:val="6"/>
    <w:uiPriority w:val="0"/>
    <w:rPr>
      <w:color w:val="E1211F"/>
    </w:rPr>
  </w:style>
  <w:style w:type="character" w:customStyle="1" w:styleId="16">
    <w:name w:val="red1"/>
    <w:basedOn w:val="6"/>
    <w:uiPriority w:val="0"/>
    <w:rPr>
      <w:color w:val="E1211F"/>
    </w:rPr>
  </w:style>
  <w:style w:type="character" w:customStyle="1" w:styleId="17">
    <w:name w:val="red2"/>
    <w:basedOn w:val="6"/>
    <w:uiPriority w:val="0"/>
    <w:rPr>
      <w:color w:val="E33938"/>
      <w:u w:val="single"/>
    </w:rPr>
  </w:style>
  <w:style w:type="character" w:customStyle="1" w:styleId="18">
    <w:name w:val="red3"/>
    <w:basedOn w:val="6"/>
    <w:uiPriority w:val="0"/>
    <w:rPr>
      <w:color w:val="E1211F"/>
    </w:rPr>
  </w:style>
  <w:style w:type="character" w:customStyle="1" w:styleId="19">
    <w:name w:val="red4"/>
    <w:basedOn w:val="6"/>
    <w:uiPriority w:val="0"/>
    <w:rPr>
      <w:color w:val="E1211F"/>
      <w:u w:val="single"/>
    </w:rPr>
  </w:style>
  <w:style w:type="character" w:customStyle="1" w:styleId="20">
    <w:name w:val="red5"/>
    <w:basedOn w:val="6"/>
    <w:uiPriority w:val="0"/>
    <w:rPr>
      <w:color w:val="E1211F"/>
    </w:rPr>
  </w:style>
  <w:style w:type="character" w:customStyle="1" w:styleId="21">
    <w:name w:val="cur15"/>
    <w:basedOn w:val="6"/>
    <w:uiPriority w:val="0"/>
    <w:rPr>
      <w:shd w:val="clear" w:fill="FF0000"/>
    </w:rPr>
  </w:style>
  <w:style w:type="character" w:customStyle="1" w:styleId="22">
    <w:name w:val="cur16"/>
    <w:basedOn w:val="6"/>
    <w:uiPriority w:val="0"/>
    <w:rPr>
      <w:shd w:val="clear" w:fill="84B5FF"/>
    </w:rPr>
  </w:style>
  <w:style w:type="character" w:customStyle="1" w:styleId="23">
    <w:name w:val="cur17"/>
    <w:basedOn w:val="6"/>
    <w:uiPriority w:val="0"/>
    <w:rPr>
      <w:color w:val="3354A2"/>
    </w:rPr>
  </w:style>
  <w:style w:type="character" w:customStyle="1" w:styleId="24">
    <w:name w:val="tit13"/>
    <w:basedOn w:val="6"/>
    <w:uiPriority w:val="0"/>
    <w:rPr>
      <w:b/>
      <w:bCs/>
      <w:color w:val="333333"/>
      <w:sz w:val="39"/>
      <w:szCs w:val="39"/>
    </w:rPr>
  </w:style>
  <w:style w:type="character" w:customStyle="1" w:styleId="25">
    <w:name w:val="ban-dy"/>
    <w:basedOn w:val="6"/>
    <w:uiPriority w:val="0"/>
    <w:rPr>
      <w:sz w:val="27"/>
      <w:szCs w:val="27"/>
    </w:rPr>
  </w:style>
  <w:style w:type="character" w:customStyle="1" w:styleId="26">
    <w:name w:val="yj-blue"/>
    <w:basedOn w:val="6"/>
    <w:uiPriority w:val="0"/>
    <w:rPr>
      <w:b/>
      <w:bCs/>
      <w:color w:val="FFFFFF"/>
      <w:sz w:val="21"/>
      <w:szCs w:val="21"/>
      <w:bdr w:val="none" w:color="auto" w:sz="0" w:space="0"/>
      <w:shd w:val="clear" w:fill="1E84CB"/>
    </w:rPr>
  </w:style>
  <w:style w:type="character" w:customStyle="1" w:styleId="27">
    <w:name w:val="yj-time2"/>
    <w:basedOn w:val="6"/>
    <w:uiPriority w:val="0"/>
    <w:rPr>
      <w:color w:val="AAAAAA"/>
      <w:sz w:val="18"/>
      <w:szCs w:val="18"/>
    </w:rPr>
  </w:style>
  <w:style w:type="character" w:customStyle="1" w:styleId="28">
    <w:name w:val="yj-time3"/>
    <w:basedOn w:val="6"/>
    <w:uiPriority w:val="0"/>
    <w:rPr>
      <w:color w:val="AAAAAA"/>
      <w:sz w:val="18"/>
      <w:szCs w:val="18"/>
    </w:rPr>
  </w:style>
  <w:style w:type="character" w:customStyle="1" w:styleId="29">
    <w:name w:val="w100"/>
    <w:basedOn w:val="6"/>
    <w:uiPriority w:val="0"/>
  </w:style>
  <w:style w:type="character" w:customStyle="1" w:styleId="30">
    <w:name w:val="yjl"/>
    <w:basedOn w:val="6"/>
    <w:uiPriority w:val="0"/>
    <w:rPr>
      <w:color w:val="999999"/>
    </w:rPr>
  </w:style>
  <w:style w:type="character" w:customStyle="1" w:styleId="31">
    <w:name w:val="yjr"/>
    <w:basedOn w:val="6"/>
    <w:uiPriority w:val="0"/>
    <w:rPr>
      <w:bdr w:val="none" w:color="auto" w:sz="0" w:space="0"/>
    </w:rPr>
  </w:style>
  <w:style w:type="character" w:customStyle="1" w:styleId="32">
    <w:name w:val="con6"/>
    <w:basedOn w:val="6"/>
    <w:uiPriority w:val="0"/>
  </w:style>
  <w:style w:type="character" w:customStyle="1" w:styleId="33">
    <w:name w:val="tyhl"/>
    <w:basedOn w:val="6"/>
    <w:uiPriority w:val="0"/>
    <w:rPr>
      <w:shd w:val="clear" w:fill="FFFFFF"/>
    </w:rPr>
  </w:style>
  <w:style w:type="paragraph" w:customStyle="1" w:styleId="34">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2022-06-24T01:20:00Z</dcterms:created>
  <dc:creator>Administrator</dc:creator>
  <cp:lastModifiedBy>Administrator</cp:lastModifiedBy>
  <dcterms:modified xsi:type="dcterms:W3CDTF">2022-06-24T01:56:54Z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A6763A39BC7F42A7AB2D907DDF25501B</vt:lpwstr>
  </property>
</Properties>
</file>