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3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SIrdGjAIAACkHAAAOAAAAZHJzL2Uyb0RvYy54bWztVc1u&#10;EzEQviPxDpbvze62pU1W2fRA2l4QVCo8gOv17lryn2wnm9w5cELckbjRE0duHHgaKI/B2LvZ0CCh&#10;CBAncnD8MzOe+b7Ps9OzlRRoyazjWhU4G6UYMUV1yVVd4BfPLw7GGDlPVEmEVqzAa+bw2ezhg2lr&#10;cnaoGy1KZhEEUS5vTYEb702eJI42TBI30oYpOKy0lcTD0tZJaUkL0aVIDtP0JGm1LY3VlDkHu/Pu&#10;EPcR7T4BdVVxyuaaLiRTvotqmSAeSnINNw7PYrZVxah/VlWOeSQKDJX6OMIlML8JYzKbkry2xDSc&#10;9imQfVLYqUkSruDSIdSceIIWlv8USnJqtdOVH1Etk66QiAhUkaU72FxavTCxljpvazOADkTtoP7b&#10;YenT5ZVFvCzwBCNFJBB+9+nllzev0CRg05o6B5NLa67Nle036m4Vyl1VViKrAdYsHafhF1GAutAq&#10;grweQGYrjyhsZll6PAE7ROEsy8bj08OeBtoAV8HvIEuPMNq60ua8dz4G285xMo5eSZfDbJqEVIfM&#10;WgPidFvE3J8hdt0QwyIRLsDRI3Y6IPb249fX7799fgfj3YdbdNpBF20H3FzuAMINaOG/R2m32g1Q&#10;Q62Tyf1SSW6s85dMSxQmBRZchexITpZPnAeWAJWNSdgWCrUFPjl6FMAj8GYreCswlQZ4d6qOvk4L&#10;Xl5wIYKHs/XNY2HRkoR30xHbxb1nFi6ZE9d0dvGoe1ENI+W5KpFfG1CUgkaCQwqSlRgJBn0nzCAg&#10;yT3hYh9LKEmoSPMGyMDxjS7XwMbCWF43QYUhKEghsh/k+w9kAP2yfzg7Mhj/XRlku5LfkvxfB7/W&#10;QWwO0EHjy+i7fWjRP66jbrZfuNl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NIit0aMAgAA&#10;KQ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51D219ED"/>
    <w:rsid w:val="70334A59"/>
    <w:rsid w:val="749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333333"/>
      <w:u w:val="none"/>
    </w:rPr>
  </w:style>
  <w:style w:type="character" w:styleId="17">
    <w:name w:val="HTML Code"/>
    <w:basedOn w:val="7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"/>
    <w:basedOn w:val="7"/>
    <w:uiPriority w:val="0"/>
  </w:style>
  <w:style w:type="character" w:customStyle="1" w:styleId="22">
    <w:name w:val="hover1"/>
    <w:basedOn w:val="7"/>
    <w:uiPriority w:val="0"/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DB1DE96D028E478B84746FC4F0EE48C3</vt:lpwstr>
  </property>
</Properties>
</file>