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考试人员健康管理信息采集表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64"/>
        <w:gridCol w:w="841"/>
        <w:gridCol w:w="959"/>
        <w:gridCol w:w="959"/>
        <w:gridCol w:w="1096"/>
        <w:gridCol w:w="1856"/>
        <w:gridCol w:w="213"/>
        <w:gridCol w:w="109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21 天内国内中、高风险等疫情重点地区旅居地（县市区））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28 天内境外旅居地（国家、地区）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居住社区21天内发生疫情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④以上都不是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核酸检测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①阳性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③不需要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健康监测（自考前 14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天数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监测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早晨体温是否正常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晚上体温是否正常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如出现以上所列症状，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是否排除疑似传染病</w:t>
            </w:r>
          </w:p>
          <w:p>
            <w:pPr>
              <w:spacing w:line="300" w:lineRule="exact"/>
              <w:ind w:left="360" w:firstLine="360" w:firstLineChars="200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11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14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本人承诺：以上信息属实，如有虚报、瞒报，愿承担责任及后果。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签字：   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667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31B26247"/>
    <w:rsid w:val="34F1213A"/>
    <w:rsid w:val="48135632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27DF7C040314482D986CE9F7911CC3C0</vt:lpwstr>
  </property>
</Properties>
</file>