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84" w:lineRule="auto"/>
        <w:jc w:val="center"/>
        <w:rPr>
          <w:rFonts w:ascii="微软雅黑" w:hAnsi="微软雅黑" w:eastAsia="微软雅黑" w:cs="黑体"/>
          <w:b/>
          <w:bCs/>
          <w:color w:val="0D0D0D"/>
          <w:sz w:val="36"/>
          <w:szCs w:val="36"/>
        </w:rPr>
      </w:pPr>
      <w:r>
        <w:rPr>
          <w:rFonts w:ascii="微软雅黑" w:hAnsi="微软雅黑" w:eastAsia="微软雅黑" w:cs="黑体"/>
          <w:b/>
          <w:bCs/>
          <w:color w:val="0D0D0D"/>
          <w:sz w:val="36"/>
          <w:szCs w:val="36"/>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微软雅黑" w:hAnsi="微软雅黑" w:eastAsia="微软雅黑" w:cs="黑体"/>
          <w:b/>
          <w:bCs/>
          <w:color w:val="0D0D0D"/>
          <w:sz w:val="36"/>
          <w:szCs w:val="36"/>
        </w:rPr>
        <w:instrText xml:space="preserve">ADDIN CNKISM.UserStyle</w:instrText>
      </w:r>
      <w:r>
        <w:rPr>
          <w:rFonts w:ascii="微软雅黑" w:hAnsi="微软雅黑" w:eastAsia="微软雅黑" w:cs="黑体"/>
          <w:b/>
          <w:bCs/>
          <w:color w:val="0D0D0D"/>
          <w:sz w:val="36"/>
          <w:szCs w:val="36"/>
        </w:rPr>
        <w:fldChar w:fldCharType="separate"/>
      </w:r>
      <w:r>
        <w:rPr>
          <w:rFonts w:ascii="微软雅黑" w:hAnsi="微软雅黑" w:eastAsia="微软雅黑" w:cs="黑体"/>
          <w:b/>
          <w:bCs/>
          <w:color w:val="0D0D0D"/>
          <w:sz w:val="36"/>
          <w:szCs w:val="36"/>
        </w:rPr>
        <w:fldChar w:fldCharType="end"/>
      </w:r>
      <w:r>
        <w:rPr>
          <w:rFonts w:hint="eastAsia" w:ascii="微软雅黑" w:hAnsi="微软雅黑" w:eastAsia="微软雅黑" w:cs="黑体"/>
          <w:b/>
          <w:bCs/>
          <w:color w:val="0D0D0D"/>
          <w:sz w:val="36"/>
          <w:szCs w:val="36"/>
        </w:rPr>
        <w:t>上海市静安区业余大学202</w:t>
      </w:r>
      <w:r>
        <w:rPr>
          <w:rFonts w:ascii="微软雅黑" w:hAnsi="微软雅黑" w:eastAsia="微软雅黑" w:cs="黑体"/>
          <w:b/>
          <w:bCs/>
          <w:color w:val="0D0D0D"/>
          <w:sz w:val="36"/>
          <w:szCs w:val="36"/>
        </w:rPr>
        <w:t>2</w:t>
      </w:r>
      <w:r>
        <w:rPr>
          <w:rFonts w:hint="eastAsia" w:ascii="微软雅黑" w:hAnsi="微软雅黑" w:eastAsia="微软雅黑" w:cs="黑体"/>
          <w:b/>
          <w:bCs/>
          <w:color w:val="0D0D0D"/>
          <w:sz w:val="36"/>
          <w:szCs w:val="36"/>
        </w:rPr>
        <w:t>年招聘公告</w:t>
      </w:r>
    </w:p>
    <w:p>
      <w:pPr>
        <w:widowControl/>
        <w:spacing w:line="384" w:lineRule="auto"/>
        <w:jc w:val="center"/>
        <w:rPr>
          <w:rFonts w:hint="eastAsia" w:ascii="微软雅黑" w:hAnsi="微软雅黑" w:eastAsia="微软雅黑" w:cs="黑体"/>
          <w:b/>
          <w:bCs/>
          <w:color w:val="0D0D0D"/>
          <w:sz w:val="36"/>
          <w:szCs w:val="36"/>
        </w:rPr>
      </w:pPr>
      <w:r>
        <w:rPr>
          <w:rFonts w:hint="eastAsia" w:ascii="微软雅黑" w:hAnsi="微软雅黑" w:eastAsia="微软雅黑" w:cs="黑体"/>
          <w:b/>
          <w:bCs/>
          <w:color w:val="0D0D0D"/>
          <w:sz w:val="36"/>
          <w:szCs w:val="36"/>
        </w:rPr>
        <w:t>（第二批）</w:t>
      </w:r>
    </w:p>
    <w:p>
      <w:pPr>
        <w:widowControl/>
        <w:wordWrap w:val="0"/>
        <w:spacing w:line="440" w:lineRule="exact"/>
        <w:jc w:val="left"/>
        <w:rPr>
          <w:rFonts w:ascii="仿宋_GB2312" w:hAnsi="ˎ̥" w:eastAsia="仿宋_GB2312" w:cs="宋体"/>
          <w:b/>
          <w:bCs/>
          <w:color w:val="0D0D0D"/>
          <w:kern w:val="0"/>
          <w:sz w:val="28"/>
          <w:szCs w:val="28"/>
        </w:rPr>
      </w:pPr>
    </w:p>
    <w:p>
      <w:pPr>
        <w:widowControl/>
        <w:wordWrap w:val="0"/>
        <w:spacing w:line="440" w:lineRule="exact"/>
        <w:jc w:val="left"/>
        <w:rPr>
          <w:rFonts w:hint="eastAsia" w:ascii="仿宋_GB2312" w:hAnsi="ˎ̥" w:eastAsia="仿宋_GB2312" w:cs="宋体"/>
          <w:b/>
          <w:bCs/>
          <w:color w:val="0D0D0D"/>
          <w:kern w:val="0"/>
          <w:sz w:val="28"/>
          <w:szCs w:val="28"/>
        </w:rPr>
      </w:pPr>
      <w:r>
        <w:rPr>
          <w:rFonts w:hint="eastAsia" w:ascii="仿宋_GB2312" w:hAnsi="ˎ̥" w:eastAsia="仿宋_GB2312" w:cs="宋体"/>
          <w:b/>
          <w:bCs/>
          <w:color w:val="0D0D0D"/>
          <w:kern w:val="0"/>
          <w:sz w:val="28"/>
          <w:szCs w:val="28"/>
        </w:rPr>
        <w:t>一 、招聘对象：</w:t>
      </w:r>
    </w:p>
    <w:p>
      <w:pPr>
        <w:widowControl/>
        <w:wordWrap w:val="0"/>
        <w:spacing w:line="440" w:lineRule="exact"/>
        <w:ind w:firstLine="420"/>
        <w:jc w:val="left"/>
        <w:rPr>
          <w:rFonts w:ascii="仿宋_GB2312" w:hAnsi="ˎ̥" w:eastAsia="仿宋_GB2312" w:cs="宋体"/>
          <w:color w:val="0D0D0D"/>
          <w:kern w:val="0"/>
          <w:sz w:val="28"/>
          <w:szCs w:val="28"/>
        </w:rPr>
      </w:pPr>
      <w:r>
        <w:rPr>
          <w:rFonts w:hint="eastAsia" w:ascii="仿宋_GB2312" w:hAnsi="ˎ̥" w:eastAsia="仿宋_GB2312" w:cs="宋体"/>
          <w:color w:val="0D0D0D"/>
          <w:kern w:val="0"/>
          <w:sz w:val="28"/>
          <w:szCs w:val="28"/>
        </w:rPr>
        <w:t>应届毕业生、在职教师或社会人员。</w:t>
      </w:r>
    </w:p>
    <w:p>
      <w:pPr>
        <w:widowControl/>
        <w:wordWrap w:val="0"/>
        <w:spacing w:line="440" w:lineRule="exact"/>
        <w:jc w:val="left"/>
        <w:rPr>
          <w:rFonts w:hint="eastAsia" w:ascii="仿宋_GB2312" w:hAnsi="宋体" w:eastAsia="仿宋_GB2312" w:cs="宋体"/>
          <w:b/>
          <w:bCs/>
          <w:color w:val="0D0D0D"/>
          <w:kern w:val="0"/>
          <w:sz w:val="28"/>
          <w:szCs w:val="28"/>
        </w:rPr>
      </w:pPr>
      <w:r>
        <w:rPr>
          <w:rFonts w:hint="eastAsia" w:ascii="仿宋_GB2312" w:hAnsi="宋体" w:eastAsia="仿宋_GB2312" w:cs="宋体"/>
          <w:b/>
          <w:bCs/>
          <w:color w:val="0D0D0D"/>
          <w:kern w:val="0"/>
          <w:sz w:val="28"/>
          <w:szCs w:val="28"/>
        </w:rPr>
        <w:t>二、招聘岗位：</w:t>
      </w:r>
    </w:p>
    <w:tbl>
      <w:tblPr>
        <w:tblStyle w:val="5"/>
        <w:tblW w:w="0" w:type="auto"/>
        <w:jc w:val="center"/>
        <w:tblLayout w:type="fixed"/>
        <w:tblCellMar>
          <w:top w:w="0" w:type="dxa"/>
          <w:left w:w="108" w:type="dxa"/>
          <w:bottom w:w="0" w:type="dxa"/>
          <w:right w:w="108" w:type="dxa"/>
        </w:tblCellMar>
      </w:tblPr>
      <w:tblGrid>
        <w:gridCol w:w="3368"/>
        <w:gridCol w:w="3951"/>
        <w:gridCol w:w="1392"/>
      </w:tblGrid>
      <w:tr>
        <w:tblPrEx>
          <w:tblCellMar>
            <w:top w:w="0" w:type="dxa"/>
            <w:left w:w="108" w:type="dxa"/>
            <w:bottom w:w="0" w:type="dxa"/>
            <w:right w:w="108" w:type="dxa"/>
          </w:tblCellMar>
        </w:tblPrEx>
        <w:trPr>
          <w:trHeight w:val="405" w:hRule="atLeast"/>
          <w:jc w:val="center"/>
        </w:trPr>
        <w:tc>
          <w:tcPr>
            <w:tcW w:w="3368" w:type="dxa"/>
            <w:tcBorders>
              <w:top w:val="single" w:color="auto" w:sz="2" w:space="0"/>
              <w:left w:val="single" w:color="auto" w:sz="2" w:space="0"/>
              <w:bottom w:val="single" w:color="auto" w:sz="6" w:space="0"/>
              <w:right w:val="single" w:color="auto" w:sz="6" w:space="0"/>
            </w:tcBorders>
            <w:noWrap w:val="0"/>
            <w:vAlign w:val="center"/>
          </w:tcPr>
          <w:p>
            <w:pPr>
              <w:widowControl/>
              <w:spacing w:line="440" w:lineRule="exact"/>
              <w:jc w:val="center"/>
              <w:rPr>
                <w:rFonts w:ascii="微软雅黑" w:hAnsi="微软雅黑" w:eastAsia="微软雅黑" w:cs="宋体"/>
                <w:b/>
                <w:bCs/>
                <w:color w:val="0D0D0D"/>
                <w:kern w:val="0"/>
                <w:sz w:val="28"/>
                <w:szCs w:val="28"/>
              </w:rPr>
            </w:pPr>
            <w:r>
              <w:rPr>
                <w:rFonts w:hint="eastAsia" w:ascii="微软雅黑" w:hAnsi="微软雅黑" w:eastAsia="微软雅黑" w:cs="宋体"/>
                <w:b/>
                <w:bCs/>
                <w:color w:val="0D0D0D"/>
                <w:kern w:val="0"/>
                <w:sz w:val="28"/>
                <w:szCs w:val="28"/>
              </w:rPr>
              <w:t>招聘岗位</w:t>
            </w:r>
          </w:p>
        </w:tc>
        <w:tc>
          <w:tcPr>
            <w:tcW w:w="3951" w:type="dxa"/>
            <w:tcBorders>
              <w:top w:val="single" w:color="auto" w:sz="2" w:space="0"/>
              <w:left w:val="single" w:color="auto" w:sz="6" w:space="0"/>
              <w:bottom w:val="single" w:color="auto" w:sz="6" w:space="0"/>
              <w:right w:val="single" w:color="auto" w:sz="6" w:space="0"/>
            </w:tcBorders>
            <w:noWrap w:val="0"/>
            <w:vAlign w:val="top"/>
          </w:tcPr>
          <w:p>
            <w:pPr>
              <w:widowControl/>
              <w:spacing w:line="440" w:lineRule="exact"/>
              <w:jc w:val="center"/>
              <w:rPr>
                <w:rFonts w:hint="eastAsia" w:ascii="微软雅黑" w:hAnsi="微软雅黑" w:eastAsia="微软雅黑" w:cs="宋体"/>
                <w:b/>
                <w:bCs/>
                <w:color w:val="0D0D0D"/>
                <w:kern w:val="0"/>
                <w:sz w:val="28"/>
                <w:szCs w:val="28"/>
              </w:rPr>
            </w:pPr>
            <w:r>
              <w:rPr>
                <w:rFonts w:hint="eastAsia" w:ascii="微软雅黑" w:hAnsi="微软雅黑" w:eastAsia="微软雅黑" w:cs="宋体"/>
                <w:b/>
                <w:bCs/>
                <w:color w:val="0D0D0D"/>
                <w:kern w:val="0"/>
                <w:sz w:val="28"/>
                <w:szCs w:val="28"/>
              </w:rPr>
              <w:t>专业要求</w:t>
            </w:r>
          </w:p>
        </w:tc>
        <w:tc>
          <w:tcPr>
            <w:tcW w:w="1392" w:type="dxa"/>
            <w:tcBorders>
              <w:top w:val="single" w:color="auto" w:sz="2" w:space="0"/>
              <w:left w:val="single" w:color="auto" w:sz="6" w:space="0"/>
              <w:bottom w:val="single" w:color="auto" w:sz="6" w:space="0"/>
              <w:right w:val="single" w:color="auto" w:sz="2" w:space="0"/>
            </w:tcBorders>
            <w:noWrap w:val="0"/>
            <w:vAlign w:val="center"/>
          </w:tcPr>
          <w:p>
            <w:pPr>
              <w:widowControl/>
              <w:spacing w:line="440" w:lineRule="exact"/>
              <w:jc w:val="center"/>
              <w:rPr>
                <w:rFonts w:ascii="微软雅黑" w:hAnsi="微软雅黑" w:eastAsia="微软雅黑" w:cs="宋体"/>
                <w:b/>
                <w:bCs/>
                <w:color w:val="0D0D0D"/>
                <w:kern w:val="0"/>
                <w:sz w:val="28"/>
                <w:szCs w:val="28"/>
              </w:rPr>
            </w:pPr>
            <w:r>
              <w:rPr>
                <w:rFonts w:hint="eastAsia" w:ascii="微软雅黑" w:hAnsi="微软雅黑" w:eastAsia="微软雅黑" w:cs="宋体"/>
                <w:b/>
                <w:bCs/>
                <w:color w:val="0D0D0D"/>
                <w:kern w:val="0"/>
                <w:sz w:val="28"/>
                <w:szCs w:val="28"/>
              </w:rPr>
              <w:t>招聘人数</w:t>
            </w:r>
          </w:p>
        </w:tc>
      </w:tr>
      <w:tr>
        <w:tblPrEx>
          <w:tblCellMar>
            <w:top w:w="0" w:type="dxa"/>
            <w:left w:w="108" w:type="dxa"/>
            <w:bottom w:w="0" w:type="dxa"/>
            <w:right w:w="108" w:type="dxa"/>
          </w:tblCellMar>
        </w:tblPrEx>
        <w:trPr>
          <w:trHeight w:val="285" w:hRule="atLeast"/>
          <w:jc w:val="center"/>
        </w:trPr>
        <w:tc>
          <w:tcPr>
            <w:tcW w:w="3368" w:type="dxa"/>
            <w:tcBorders>
              <w:top w:val="single" w:color="auto" w:sz="6" w:space="0"/>
              <w:left w:val="single" w:color="auto" w:sz="2" w:space="0"/>
              <w:bottom w:val="single" w:color="auto" w:sz="6" w:space="0"/>
              <w:right w:val="single" w:color="auto" w:sz="6" w:space="0"/>
            </w:tcBorders>
            <w:noWrap w:val="0"/>
            <w:vAlign w:val="center"/>
          </w:tcPr>
          <w:p>
            <w:pPr>
              <w:widowControl/>
              <w:spacing w:line="440" w:lineRule="exact"/>
              <w:ind w:firstLine="420"/>
              <w:jc w:val="center"/>
              <w:rPr>
                <w:rFonts w:hint="eastAsia" w:ascii="仿宋_GB2312" w:hAnsi="ˎ̥" w:eastAsia="仿宋_GB2312" w:cs="宋体"/>
                <w:color w:val="0D0D0D"/>
                <w:kern w:val="0"/>
                <w:sz w:val="28"/>
                <w:szCs w:val="28"/>
              </w:rPr>
            </w:pPr>
            <w:r>
              <w:rPr>
                <w:rFonts w:hint="eastAsia" w:ascii="仿宋_GB2312" w:hAnsi="ˎ̥" w:eastAsia="仿宋_GB2312" w:cs="宋体"/>
                <w:color w:val="0D0D0D"/>
                <w:kern w:val="0"/>
                <w:sz w:val="28"/>
                <w:szCs w:val="28"/>
              </w:rPr>
              <w:t>终身教育研究员</w:t>
            </w:r>
          </w:p>
        </w:tc>
        <w:tc>
          <w:tcPr>
            <w:tcW w:w="3951" w:type="dxa"/>
            <w:tcBorders>
              <w:top w:val="single" w:color="auto" w:sz="6" w:space="0"/>
              <w:left w:val="single" w:color="auto" w:sz="6" w:space="0"/>
              <w:bottom w:val="single" w:color="auto" w:sz="6" w:space="0"/>
              <w:right w:val="single" w:color="auto" w:sz="6" w:space="0"/>
            </w:tcBorders>
            <w:noWrap w:val="0"/>
            <w:vAlign w:val="center"/>
          </w:tcPr>
          <w:p>
            <w:pPr>
              <w:widowControl/>
              <w:spacing w:line="440" w:lineRule="exact"/>
              <w:jc w:val="left"/>
              <w:rPr>
                <w:rFonts w:hint="eastAsia" w:ascii="仿宋_GB2312" w:hAnsi="ˎ̥" w:eastAsia="仿宋_GB2312" w:cs="宋体"/>
                <w:color w:val="0D0D0D"/>
                <w:kern w:val="0"/>
                <w:sz w:val="28"/>
                <w:szCs w:val="28"/>
              </w:rPr>
            </w:pPr>
            <w:r>
              <w:rPr>
                <w:rFonts w:hint="eastAsia" w:ascii="仿宋_GB2312" w:hAnsi="ˎ̥" w:eastAsia="仿宋_GB2312" w:cs="宋体"/>
                <w:color w:val="0D0D0D"/>
                <w:kern w:val="0"/>
                <w:sz w:val="28"/>
                <w:szCs w:val="28"/>
              </w:rPr>
              <w:t>成人教育学、高等教育学、教育经济与管理、教育学原理、职业技术教育学、教育技术学、比较教育学、课程与教学论、教育史、社会学、政治学专业</w:t>
            </w:r>
          </w:p>
        </w:tc>
        <w:tc>
          <w:tcPr>
            <w:tcW w:w="1392" w:type="dxa"/>
            <w:tcBorders>
              <w:top w:val="single" w:color="auto" w:sz="6" w:space="0"/>
              <w:left w:val="single" w:color="auto" w:sz="6" w:space="0"/>
              <w:bottom w:val="single" w:color="auto" w:sz="6" w:space="0"/>
              <w:right w:val="single" w:color="auto" w:sz="2" w:space="0"/>
            </w:tcBorders>
            <w:noWrap w:val="0"/>
            <w:vAlign w:val="center"/>
          </w:tcPr>
          <w:p>
            <w:pPr>
              <w:widowControl/>
              <w:ind w:firstLine="420"/>
              <w:rPr>
                <w:rFonts w:hint="eastAsia" w:ascii="仿宋_GB2312" w:hAnsi="ˎ̥" w:eastAsia="仿宋_GB2312" w:cs="宋体"/>
                <w:color w:val="0D0D0D"/>
                <w:kern w:val="0"/>
                <w:sz w:val="28"/>
                <w:szCs w:val="28"/>
              </w:rPr>
            </w:pPr>
            <w:r>
              <w:rPr>
                <w:rFonts w:hint="eastAsia" w:ascii="仿宋_GB2312" w:hAnsi="ˎ̥" w:eastAsia="仿宋_GB2312" w:cs="宋体"/>
                <w:color w:val="0D0D0D"/>
                <w:kern w:val="0"/>
                <w:sz w:val="28"/>
                <w:szCs w:val="28"/>
              </w:rPr>
              <w:t>2</w:t>
            </w:r>
          </w:p>
        </w:tc>
      </w:tr>
      <w:tr>
        <w:tblPrEx>
          <w:tblCellMar>
            <w:top w:w="0" w:type="dxa"/>
            <w:left w:w="108" w:type="dxa"/>
            <w:bottom w:w="0" w:type="dxa"/>
            <w:right w:w="108" w:type="dxa"/>
          </w:tblCellMar>
        </w:tblPrEx>
        <w:trPr>
          <w:trHeight w:val="285" w:hRule="atLeast"/>
          <w:jc w:val="center"/>
        </w:trPr>
        <w:tc>
          <w:tcPr>
            <w:tcW w:w="3368" w:type="dxa"/>
            <w:tcBorders>
              <w:top w:val="single" w:color="auto" w:sz="6" w:space="0"/>
              <w:left w:val="single" w:color="auto" w:sz="2" w:space="0"/>
              <w:bottom w:val="single" w:color="auto" w:sz="6" w:space="0"/>
              <w:right w:val="single" w:color="auto" w:sz="6" w:space="0"/>
            </w:tcBorders>
            <w:noWrap w:val="0"/>
            <w:vAlign w:val="center"/>
          </w:tcPr>
          <w:p>
            <w:pPr>
              <w:widowControl/>
              <w:wordWrap w:val="0"/>
              <w:spacing w:line="440" w:lineRule="exact"/>
              <w:ind w:firstLine="420"/>
              <w:jc w:val="center"/>
              <w:rPr>
                <w:rFonts w:hint="eastAsia" w:ascii="仿宋_GB2312" w:hAnsi="ˎ̥" w:eastAsia="仿宋_GB2312" w:cs="宋体"/>
                <w:color w:val="0D0D0D"/>
                <w:kern w:val="0"/>
                <w:sz w:val="28"/>
                <w:szCs w:val="28"/>
              </w:rPr>
            </w:pPr>
            <w:r>
              <w:rPr>
                <w:rFonts w:hint="eastAsia" w:ascii="仿宋_GB2312" w:hAnsi="ˎ̥" w:eastAsia="仿宋_GB2312" w:cs="宋体"/>
                <w:color w:val="0D0D0D"/>
                <w:kern w:val="0"/>
                <w:sz w:val="28"/>
                <w:szCs w:val="28"/>
              </w:rPr>
              <w:t>行政管理专业教师</w:t>
            </w:r>
          </w:p>
        </w:tc>
        <w:tc>
          <w:tcPr>
            <w:tcW w:w="3951" w:type="dxa"/>
            <w:tcBorders>
              <w:top w:val="single" w:color="auto" w:sz="6" w:space="0"/>
              <w:left w:val="single" w:color="auto" w:sz="6" w:space="0"/>
              <w:bottom w:val="single" w:color="auto" w:sz="6" w:space="0"/>
              <w:right w:val="single" w:color="auto" w:sz="6" w:space="0"/>
            </w:tcBorders>
            <w:noWrap w:val="0"/>
            <w:vAlign w:val="center"/>
          </w:tcPr>
          <w:p>
            <w:pPr>
              <w:widowControl/>
              <w:spacing w:line="440" w:lineRule="exact"/>
              <w:jc w:val="left"/>
              <w:rPr>
                <w:rFonts w:hint="eastAsia" w:ascii="仿宋_GB2312" w:hAnsi="ˎ̥" w:eastAsia="仿宋_GB2312" w:cs="宋体"/>
                <w:color w:val="0D0D0D"/>
                <w:kern w:val="0"/>
                <w:sz w:val="28"/>
                <w:szCs w:val="28"/>
              </w:rPr>
            </w:pPr>
            <w:r>
              <w:rPr>
                <w:rFonts w:hint="eastAsia" w:ascii="仿宋_GB2312" w:hAnsi="ˎ̥" w:eastAsia="仿宋_GB2312" w:cs="宋体"/>
                <w:color w:val="0D0D0D"/>
                <w:kern w:val="0"/>
                <w:sz w:val="28"/>
                <w:szCs w:val="28"/>
              </w:rPr>
              <w:t>管理学、教育学、社会学专业</w:t>
            </w:r>
          </w:p>
        </w:tc>
        <w:tc>
          <w:tcPr>
            <w:tcW w:w="1392" w:type="dxa"/>
            <w:tcBorders>
              <w:top w:val="single" w:color="auto" w:sz="6" w:space="0"/>
              <w:left w:val="single" w:color="auto" w:sz="6" w:space="0"/>
              <w:bottom w:val="single" w:color="auto" w:sz="6" w:space="0"/>
              <w:right w:val="single" w:color="auto" w:sz="2" w:space="0"/>
            </w:tcBorders>
            <w:noWrap w:val="0"/>
            <w:vAlign w:val="center"/>
          </w:tcPr>
          <w:p>
            <w:pPr>
              <w:widowControl/>
              <w:ind w:firstLine="420"/>
              <w:rPr>
                <w:rFonts w:hint="eastAsia" w:ascii="仿宋_GB2312" w:hAnsi="ˎ̥" w:eastAsia="仿宋_GB2312" w:cs="宋体"/>
                <w:color w:val="0D0D0D"/>
                <w:kern w:val="0"/>
                <w:sz w:val="28"/>
                <w:szCs w:val="28"/>
              </w:rPr>
            </w:pPr>
            <w:r>
              <w:rPr>
                <w:rFonts w:ascii="仿宋_GB2312" w:hAnsi="ˎ̥" w:eastAsia="仿宋_GB2312" w:cs="宋体"/>
                <w:color w:val="0D0D0D"/>
                <w:kern w:val="0"/>
                <w:sz w:val="28"/>
                <w:szCs w:val="28"/>
              </w:rPr>
              <w:t>2</w:t>
            </w:r>
          </w:p>
        </w:tc>
      </w:tr>
      <w:tr>
        <w:tblPrEx>
          <w:tblCellMar>
            <w:top w:w="0" w:type="dxa"/>
            <w:left w:w="108" w:type="dxa"/>
            <w:bottom w:w="0" w:type="dxa"/>
            <w:right w:w="108" w:type="dxa"/>
          </w:tblCellMar>
        </w:tblPrEx>
        <w:trPr>
          <w:trHeight w:val="285" w:hRule="atLeast"/>
          <w:jc w:val="center"/>
        </w:trPr>
        <w:tc>
          <w:tcPr>
            <w:tcW w:w="3368" w:type="dxa"/>
            <w:tcBorders>
              <w:top w:val="single" w:color="auto" w:sz="6" w:space="0"/>
              <w:left w:val="single" w:color="auto" w:sz="2" w:space="0"/>
              <w:bottom w:val="single" w:color="auto" w:sz="6" w:space="0"/>
              <w:right w:val="single" w:color="auto" w:sz="6" w:space="0"/>
            </w:tcBorders>
            <w:noWrap w:val="0"/>
            <w:vAlign w:val="center"/>
          </w:tcPr>
          <w:p>
            <w:pPr>
              <w:widowControl/>
              <w:wordWrap w:val="0"/>
              <w:spacing w:line="440" w:lineRule="exact"/>
              <w:ind w:firstLine="420"/>
              <w:jc w:val="center"/>
              <w:rPr>
                <w:rFonts w:hint="eastAsia" w:ascii="仿宋_GB2312" w:hAnsi="ˎ̥" w:eastAsia="仿宋_GB2312" w:cs="宋体"/>
                <w:color w:val="0D0D0D"/>
                <w:kern w:val="0"/>
                <w:sz w:val="28"/>
                <w:szCs w:val="28"/>
              </w:rPr>
            </w:pPr>
            <w:r>
              <w:rPr>
                <w:rFonts w:hint="eastAsia" w:ascii="仿宋_GB2312" w:hAnsi="ˎ̥" w:eastAsia="仿宋_GB2312" w:cs="宋体"/>
                <w:color w:val="0D0D0D"/>
                <w:kern w:val="0"/>
                <w:sz w:val="28"/>
                <w:szCs w:val="28"/>
              </w:rPr>
              <w:t>工商管理专业教师</w:t>
            </w:r>
          </w:p>
        </w:tc>
        <w:tc>
          <w:tcPr>
            <w:tcW w:w="3951" w:type="dxa"/>
            <w:tcBorders>
              <w:top w:val="single" w:color="auto" w:sz="6" w:space="0"/>
              <w:left w:val="single" w:color="auto" w:sz="6" w:space="0"/>
              <w:bottom w:val="single" w:color="auto" w:sz="6" w:space="0"/>
              <w:right w:val="single" w:color="auto" w:sz="6" w:space="0"/>
            </w:tcBorders>
            <w:noWrap w:val="0"/>
            <w:vAlign w:val="center"/>
          </w:tcPr>
          <w:p>
            <w:pPr>
              <w:widowControl/>
              <w:spacing w:line="440" w:lineRule="exact"/>
              <w:rPr>
                <w:rFonts w:hint="eastAsia" w:ascii="仿宋_GB2312" w:hAnsi="ˎ̥" w:eastAsia="仿宋_GB2312" w:cs="宋体"/>
                <w:color w:val="0D0D0D"/>
                <w:kern w:val="0"/>
                <w:sz w:val="28"/>
                <w:szCs w:val="28"/>
              </w:rPr>
            </w:pPr>
            <w:r>
              <w:rPr>
                <w:rFonts w:hint="eastAsia" w:ascii="仿宋_GB2312" w:hAnsi="ˎ̥" w:eastAsia="仿宋_GB2312" w:cs="宋体"/>
                <w:color w:val="0D0D0D"/>
                <w:kern w:val="0"/>
                <w:sz w:val="28"/>
                <w:szCs w:val="28"/>
              </w:rPr>
              <w:t>工商管理专业</w:t>
            </w:r>
          </w:p>
        </w:tc>
        <w:tc>
          <w:tcPr>
            <w:tcW w:w="1392" w:type="dxa"/>
            <w:tcBorders>
              <w:top w:val="single" w:color="auto" w:sz="6" w:space="0"/>
              <w:left w:val="single" w:color="auto" w:sz="6" w:space="0"/>
              <w:bottom w:val="single" w:color="auto" w:sz="6" w:space="0"/>
              <w:right w:val="single" w:color="auto" w:sz="2" w:space="0"/>
            </w:tcBorders>
            <w:noWrap w:val="0"/>
            <w:vAlign w:val="center"/>
          </w:tcPr>
          <w:p>
            <w:pPr>
              <w:widowControl/>
              <w:ind w:firstLine="420"/>
              <w:rPr>
                <w:rFonts w:hint="eastAsia" w:ascii="仿宋_GB2312" w:hAnsi="ˎ̥" w:eastAsia="仿宋_GB2312" w:cs="宋体"/>
                <w:color w:val="0D0D0D"/>
                <w:kern w:val="0"/>
                <w:sz w:val="28"/>
                <w:szCs w:val="28"/>
              </w:rPr>
            </w:pPr>
            <w:r>
              <w:rPr>
                <w:rFonts w:ascii="仿宋_GB2312" w:hAnsi="ˎ̥" w:eastAsia="仿宋_GB2312" w:cs="宋体"/>
                <w:color w:val="0D0D0D"/>
                <w:kern w:val="0"/>
                <w:sz w:val="28"/>
                <w:szCs w:val="28"/>
              </w:rPr>
              <w:t>1</w:t>
            </w:r>
          </w:p>
        </w:tc>
      </w:tr>
    </w:tbl>
    <w:p>
      <w:pPr>
        <w:widowControl/>
        <w:wordWrap w:val="0"/>
        <w:spacing w:line="420" w:lineRule="exact"/>
        <w:jc w:val="left"/>
        <w:rPr>
          <w:rFonts w:hint="eastAsia" w:ascii="仿宋_GB2312" w:hAnsi="ˎ̥" w:eastAsia="仿宋_GB2312" w:cs="宋体"/>
          <w:b/>
          <w:bCs/>
          <w:color w:val="0D0D0D"/>
          <w:kern w:val="0"/>
          <w:sz w:val="28"/>
          <w:szCs w:val="28"/>
        </w:rPr>
      </w:pPr>
      <w:r>
        <w:rPr>
          <w:rFonts w:hint="eastAsia" w:ascii="仿宋_GB2312" w:hAnsi="宋体" w:eastAsia="仿宋_GB2312" w:cs="宋体"/>
          <w:b/>
          <w:bCs/>
          <w:color w:val="0D0D0D"/>
          <w:kern w:val="0"/>
          <w:sz w:val="28"/>
          <w:szCs w:val="28"/>
        </w:rPr>
        <w:t>三、招聘条件</w:t>
      </w:r>
      <w:r>
        <w:rPr>
          <w:rFonts w:hint="eastAsia" w:ascii="仿宋_GB2312" w:hAnsi="ˎ̥" w:eastAsia="仿宋_GB2312" w:cs="宋体"/>
          <w:b/>
          <w:bCs/>
          <w:color w:val="0D0D0D"/>
          <w:kern w:val="0"/>
          <w:sz w:val="28"/>
          <w:szCs w:val="28"/>
        </w:rPr>
        <w:t>：</w:t>
      </w:r>
    </w:p>
    <w:p>
      <w:pPr>
        <w:spacing w:line="420" w:lineRule="exact"/>
        <w:rPr>
          <w:rFonts w:hint="eastAsia" w:ascii="仿宋_GB2312" w:eastAsia="仿宋_GB2312"/>
          <w:b/>
          <w:bCs/>
          <w:color w:val="0D0D0D"/>
          <w:sz w:val="28"/>
          <w:szCs w:val="28"/>
        </w:rPr>
      </w:pPr>
      <w:r>
        <w:rPr>
          <w:rFonts w:hint="eastAsia" w:ascii="仿宋_GB2312" w:eastAsia="仿宋_GB2312"/>
          <w:b/>
          <w:bCs/>
          <w:color w:val="0D0D0D"/>
          <w:sz w:val="28"/>
          <w:szCs w:val="28"/>
        </w:rPr>
        <w:t>（一）基本条件：</w:t>
      </w:r>
    </w:p>
    <w:p>
      <w:pPr>
        <w:spacing w:line="420" w:lineRule="exact"/>
        <w:ind w:firstLine="420"/>
        <w:rPr>
          <w:rFonts w:hint="eastAsia" w:ascii="仿宋_GB2312" w:eastAsia="仿宋_GB2312"/>
          <w:color w:val="0D0D0D"/>
          <w:sz w:val="28"/>
          <w:szCs w:val="28"/>
        </w:rPr>
      </w:pPr>
      <w:r>
        <w:rPr>
          <w:rFonts w:hint="eastAsia" w:ascii="仿宋_GB2312" w:eastAsia="仿宋_GB2312"/>
          <w:color w:val="0D0D0D"/>
          <w:sz w:val="28"/>
          <w:szCs w:val="28"/>
        </w:rPr>
        <w:t>1、遵守中华人民共和国宪法和法律；</w:t>
      </w:r>
    </w:p>
    <w:p>
      <w:pPr>
        <w:spacing w:line="420" w:lineRule="exact"/>
        <w:ind w:firstLine="420"/>
        <w:rPr>
          <w:rFonts w:hint="eastAsia" w:ascii="仿宋_GB2312" w:eastAsia="仿宋_GB2312"/>
          <w:color w:val="0D0D0D"/>
          <w:sz w:val="28"/>
          <w:szCs w:val="28"/>
        </w:rPr>
      </w:pPr>
      <w:r>
        <w:rPr>
          <w:rFonts w:hint="eastAsia" w:ascii="仿宋_GB2312" w:eastAsia="仿宋_GB2312"/>
          <w:color w:val="0D0D0D"/>
          <w:sz w:val="28"/>
          <w:szCs w:val="28"/>
        </w:rPr>
        <w:t>2、具有良好的品行和正常履行职责的身体条件；</w:t>
      </w:r>
    </w:p>
    <w:p>
      <w:pPr>
        <w:spacing w:line="420" w:lineRule="exact"/>
        <w:ind w:firstLine="420"/>
        <w:rPr>
          <w:rFonts w:hint="eastAsia" w:ascii="仿宋_GB2312" w:eastAsia="仿宋_GB2312"/>
          <w:color w:val="0D0D0D"/>
          <w:sz w:val="28"/>
          <w:szCs w:val="28"/>
        </w:rPr>
      </w:pPr>
      <w:r>
        <w:rPr>
          <w:rFonts w:hint="eastAsia" w:ascii="仿宋_GB2312" w:eastAsia="仿宋_GB2312"/>
          <w:color w:val="0D0D0D"/>
          <w:sz w:val="28"/>
          <w:szCs w:val="28"/>
        </w:rPr>
        <w:t>3、持有高等学校教师资格证（应届毕业生可适当放宽两年）；</w:t>
      </w:r>
    </w:p>
    <w:p>
      <w:pPr>
        <w:spacing w:line="420" w:lineRule="exact"/>
        <w:ind w:firstLine="420"/>
        <w:rPr>
          <w:rFonts w:ascii="仿宋_GB2312" w:eastAsia="仿宋_GB2312"/>
          <w:color w:val="0D0D0D"/>
          <w:sz w:val="28"/>
          <w:szCs w:val="28"/>
        </w:rPr>
      </w:pPr>
      <w:r>
        <w:rPr>
          <w:rFonts w:hint="eastAsia" w:ascii="仿宋_GB2312" w:eastAsia="仿宋_GB2312"/>
          <w:color w:val="0D0D0D"/>
          <w:sz w:val="28"/>
          <w:szCs w:val="28"/>
        </w:rPr>
        <w:t>4、有海外留学经历者，学历为国家教育部门认可并有学历鉴定书；</w:t>
      </w:r>
    </w:p>
    <w:p>
      <w:pPr>
        <w:spacing w:line="420" w:lineRule="exact"/>
        <w:ind w:firstLine="420"/>
        <w:rPr>
          <w:rFonts w:ascii="仿宋_GB2312" w:eastAsia="仿宋_GB2312"/>
          <w:color w:val="0D0D0D"/>
          <w:sz w:val="28"/>
          <w:szCs w:val="28"/>
        </w:rPr>
      </w:pPr>
      <w:r>
        <w:rPr>
          <w:rFonts w:hint="eastAsia" w:ascii="仿宋_GB2312" w:eastAsia="仿宋_GB2312"/>
          <w:color w:val="0D0D0D"/>
          <w:sz w:val="28"/>
          <w:szCs w:val="28"/>
        </w:rPr>
        <w:t>5、具备国民教育系列研究生及以上学历，且能取得相应学位。</w:t>
      </w:r>
    </w:p>
    <w:p>
      <w:pPr>
        <w:spacing w:line="420" w:lineRule="exact"/>
        <w:rPr>
          <w:rFonts w:ascii="仿宋_GB2312" w:eastAsia="仿宋_GB2312"/>
          <w:b/>
          <w:bCs/>
          <w:color w:val="0D0D0D"/>
          <w:sz w:val="28"/>
          <w:szCs w:val="28"/>
        </w:rPr>
      </w:pPr>
      <w:r>
        <w:rPr>
          <w:rFonts w:hint="eastAsia" w:ascii="仿宋_GB2312" w:eastAsia="仿宋_GB2312"/>
          <w:b/>
          <w:bCs/>
          <w:color w:val="0D0D0D"/>
          <w:sz w:val="28"/>
          <w:szCs w:val="28"/>
        </w:rPr>
        <w:t>（二）具体条件：</w:t>
      </w:r>
    </w:p>
    <w:p>
      <w:pPr>
        <w:spacing w:line="420" w:lineRule="exact"/>
        <w:ind w:firstLine="560" w:firstLineChars="200"/>
        <w:rPr>
          <w:rFonts w:hint="eastAsia" w:ascii="仿宋_GB2312" w:eastAsia="仿宋_GB2312"/>
          <w:sz w:val="28"/>
          <w:szCs w:val="28"/>
        </w:rPr>
      </w:pPr>
      <w:r>
        <w:rPr>
          <w:rFonts w:hint="eastAsia" w:ascii="仿宋_GB2312" w:eastAsia="仿宋_GB2312"/>
          <w:sz w:val="28"/>
          <w:szCs w:val="28"/>
        </w:rPr>
        <w:t>1、应届毕业生：</w:t>
      </w:r>
    </w:p>
    <w:p>
      <w:pPr>
        <w:spacing w:line="420" w:lineRule="exact"/>
        <w:ind w:firstLine="560" w:firstLineChars="200"/>
        <w:rPr>
          <w:rFonts w:hint="eastAsia" w:ascii="仿宋_GB2312" w:eastAsia="仿宋_GB2312"/>
          <w:color w:val="0D0D0D"/>
          <w:sz w:val="28"/>
          <w:szCs w:val="28"/>
        </w:rPr>
      </w:pPr>
      <w:r>
        <w:rPr>
          <w:rFonts w:hint="eastAsia" w:ascii="微软雅黑" w:hAnsi="微软雅黑" w:eastAsia="微软雅黑" w:cs="微软雅黑"/>
          <w:color w:val="0D0D0D"/>
          <w:sz w:val="28"/>
          <w:szCs w:val="28"/>
        </w:rPr>
        <w:t>①</w:t>
      </w:r>
      <w:r>
        <w:rPr>
          <w:rFonts w:hint="eastAsia" w:ascii="仿宋_GB2312" w:eastAsia="仿宋_GB2312"/>
          <w:color w:val="0D0D0D"/>
          <w:sz w:val="28"/>
          <w:szCs w:val="28"/>
        </w:rPr>
        <w:t>须具备国民教育系列研究生及以上学历，且能取得相应学位；</w:t>
      </w:r>
    </w:p>
    <w:p>
      <w:pPr>
        <w:spacing w:line="420" w:lineRule="exact"/>
        <w:ind w:firstLine="560" w:firstLineChars="200"/>
        <w:rPr>
          <w:rFonts w:hint="eastAsia" w:ascii="仿宋_GB2312" w:eastAsia="仿宋_GB2312"/>
          <w:color w:val="0D0D0D"/>
          <w:sz w:val="28"/>
          <w:szCs w:val="28"/>
        </w:rPr>
      </w:pPr>
      <w:r>
        <w:rPr>
          <w:rFonts w:hint="eastAsia" w:ascii="微软雅黑" w:hAnsi="微软雅黑" w:eastAsia="微软雅黑" w:cs="微软雅黑"/>
          <w:color w:val="0D0D0D"/>
          <w:sz w:val="28"/>
          <w:szCs w:val="28"/>
        </w:rPr>
        <w:t>②</w:t>
      </w:r>
      <w:r>
        <w:rPr>
          <w:rFonts w:hint="eastAsia" w:ascii="仿宋_GB2312" w:eastAsia="仿宋_GB2312"/>
          <w:color w:val="0D0D0D"/>
          <w:sz w:val="28"/>
          <w:szCs w:val="28"/>
        </w:rPr>
        <w:t>20</w:t>
      </w:r>
      <w:r>
        <w:rPr>
          <w:rFonts w:ascii="仿宋_GB2312" w:eastAsia="仿宋_GB2312"/>
          <w:color w:val="0D0D0D"/>
          <w:sz w:val="28"/>
          <w:szCs w:val="28"/>
        </w:rPr>
        <w:t>2</w:t>
      </w:r>
      <w:r>
        <w:rPr>
          <w:rFonts w:hint="eastAsia" w:ascii="仿宋_GB2312" w:eastAsia="仿宋_GB2312"/>
          <w:color w:val="0D0D0D"/>
          <w:sz w:val="28"/>
          <w:szCs w:val="28"/>
        </w:rPr>
        <w:t>1年7月1日至2022年6月30日取得相应学历的海外留学经历者视作为2022年应届毕业生。</w:t>
      </w:r>
    </w:p>
    <w:p>
      <w:pPr>
        <w:spacing w:line="420" w:lineRule="exact"/>
        <w:ind w:firstLine="560" w:firstLineChars="200"/>
        <w:rPr>
          <w:rFonts w:hint="eastAsia" w:ascii="仿宋_GB2312" w:eastAsia="仿宋_GB2312"/>
          <w:sz w:val="28"/>
          <w:szCs w:val="28"/>
        </w:rPr>
      </w:pPr>
      <w:r>
        <w:rPr>
          <w:rFonts w:hint="eastAsia" w:ascii="仿宋_GB2312" w:eastAsia="仿宋_GB2312"/>
          <w:sz w:val="28"/>
          <w:szCs w:val="28"/>
        </w:rPr>
        <w:t>2、在职教师：</w:t>
      </w:r>
    </w:p>
    <w:p>
      <w:pPr>
        <w:spacing w:line="420" w:lineRule="exact"/>
        <w:ind w:firstLine="560" w:firstLineChars="200"/>
        <w:rPr>
          <w:rFonts w:hint="eastAsia" w:ascii="仿宋_GB2312" w:eastAsia="仿宋_GB2312"/>
          <w:sz w:val="28"/>
          <w:szCs w:val="28"/>
        </w:rPr>
      </w:pPr>
      <w:r>
        <w:rPr>
          <w:rFonts w:hint="eastAsia" w:ascii="微软雅黑" w:hAnsi="微软雅黑" w:eastAsia="微软雅黑" w:cs="微软雅黑"/>
          <w:sz w:val="28"/>
          <w:szCs w:val="28"/>
        </w:rPr>
        <w:t>①</w:t>
      </w:r>
      <w:r>
        <w:rPr>
          <w:rFonts w:hint="eastAsia" w:ascii="仿宋_GB2312" w:eastAsia="仿宋_GB2312"/>
          <w:sz w:val="28"/>
          <w:szCs w:val="28"/>
        </w:rPr>
        <w:t>具有本市户籍；非本市户籍的，具备有效期内《上海市居住证》一年以上，计算截止时间为2022年12月31日；</w:t>
      </w:r>
    </w:p>
    <w:p>
      <w:pPr>
        <w:spacing w:line="420" w:lineRule="exact"/>
        <w:rPr>
          <w:rFonts w:ascii="仿宋_GB2312" w:eastAsia="仿宋_GB2312"/>
          <w:sz w:val="28"/>
          <w:szCs w:val="28"/>
        </w:rPr>
      </w:pPr>
      <w:r>
        <w:rPr>
          <w:rFonts w:hint="eastAsia" w:ascii="微软雅黑" w:hAnsi="微软雅黑" w:eastAsia="微软雅黑" w:cs="微软雅黑"/>
          <w:sz w:val="28"/>
          <w:szCs w:val="28"/>
        </w:rPr>
        <w:t xml:space="preserve"> </w:t>
      </w:r>
      <w:r>
        <w:rPr>
          <w:rFonts w:ascii="微软雅黑" w:hAnsi="微软雅黑" w:eastAsia="微软雅黑" w:cs="微软雅黑"/>
          <w:sz w:val="28"/>
          <w:szCs w:val="28"/>
        </w:rPr>
        <w:t xml:space="preserve">   </w:t>
      </w:r>
      <w:r>
        <w:rPr>
          <w:rFonts w:hint="eastAsia" w:ascii="微软雅黑" w:hAnsi="微软雅黑" w:eastAsia="微软雅黑" w:cs="微软雅黑"/>
          <w:color w:val="0D0D0D"/>
          <w:sz w:val="28"/>
          <w:szCs w:val="28"/>
        </w:rPr>
        <w:t>②</w:t>
      </w:r>
      <w:r>
        <w:rPr>
          <w:rFonts w:hint="eastAsia" w:ascii="仿宋_GB2312" w:eastAsia="仿宋_GB2312"/>
          <w:sz w:val="28"/>
          <w:szCs w:val="28"/>
        </w:rPr>
        <w:t>年龄需在40周岁以下（1982年1月1日以后出生）；具有专业技术副高职称者年龄需在45周岁以下（1977年1月1日以后出生）；特别优秀的（获得国家级奖励或国家级荣誉称号）具有专业技术副高职称者年龄可放宽至47周岁（1975年1月1日以后出生）；</w:t>
      </w:r>
    </w:p>
    <w:p>
      <w:pPr>
        <w:spacing w:line="420" w:lineRule="exact"/>
        <w:ind w:firstLine="560" w:firstLineChars="200"/>
        <w:rPr>
          <w:rFonts w:hint="eastAsia" w:ascii="仿宋_GB2312" w:eastAsia="仿宋_GB2312"/>
          <w:color w:val="0D0D0D"/>
          <w:sz w:val="28"/>
          <w:szCs w:val="28"/>
        </w:rPr>
      </w:pPr>
      <w:r>
        <w:rPr>
          <w:rFonts w:hint="eastAsia" w:ascii="微软雅黑" w:hAnsi="微软雅黑" w:eastAsia="微软雅黑" w:cs="微软雅黑"/>
          <w:sz w:val="28"/>
          <w:szCs w:val="28"/>
        </w:rPr>
        <w:t>③</w:t>
      </w:r>
      <w:r>
        <w:rPr>
          <w:rFonts w:hint="eastAsia" w:ascii="仿宋_GB2312" w:eastAsia="仿宋_GB2312"/>
          <w:color w:val="0D0D0D"/>
          <w:sz w:val="28"/>
          <w:szCs w:val="28"/>
        </w:rPr>
        <w:t>具有高等学校教师资格证。</w:t>
      </w:r>
    </w:p>
    <w:p>
      <w:pPr>
        <w:spacing w:line="420" w:lineRule="exact"/>
        <w:ind w:left="420" w:leftChars="200"/>
        <w:rPr>
          <w:rFonts w:ascii="仿宋_GB2312" w:eastAsia="仿宋_GB2312"/>
          <w:sz w:val="28"/>
          <w:szCs w:val="28"/>
        </w:rPr>
      </w:pPr>
      <w:r>
        <w:rPr>
          <w:rFonts w:hint="eastAsia" w:ascii="仿宋_GB2312" w:eastAsia="仿宋_GB2312"/>
          <w:sz w:val="28"/>
          <w:szCs w:val="28"/>
        </w:rPr>
        <w:t>3、社会人员</w:t>
      </w:r>
      <w:r>
        <w:rPr>
          <w:rFonts w:hint="eastAsia" w:ascii="仿宋_GB2312" w:hAnsi="ˎ̥" w:eastAsia="仿宋_GB2312" w:cs="宋体"/>
          <w:color w:val="000000"/>
          <w:kern w:val="0"/>
          <w:sz w:val="28"/>
          <w:szCs w:val="28"/>
        </w:rPr>
        <w:t>（除上述两类人员以外的人员）</w:t>
      </w:r>
      <w:r>
        <w:rPr>
          <w:rFonts w:hint="eastAsia" w:ascii="仿宋_GB2312" w:eastAsia="仿宋_GB2312"/>
          <w:sz w:val="28"/>
          <w:szCs w:val="28"/>
        </w:rPr>
        <w:t>：</w:t>
      </w:r>
    </w:p>
    <w:p>
      <w:pPr>
        <w:spacing w:line="420" w:lineRule="exact"/>
        <w:ind w:firstLine="560" w:firstLineChars="200"/>
        <w:rPr>
          <w:rFonts w:hint="eastAsia" w:ascii="仿宋_GB2312" w:eastAsia="仿宋_GB2312"/>
          <w:sz w:val="28"/>
          <w:szCs w:val="28"/>
        </w:rPr>
      </w:pPr>
      <w:r>
        <w:rPr>
          <w:rFonts w:hint="eastAsia" w:ascii="微软雅黑" w:hAnsi="微软雅黑" w:eastAsia="微软雅黑" w:cs="微软雅黑"/>
          <w:sz w:val="28"/>
          <w:szCs w:val="28"/>
        </w:rPr>
        <w:t>①</w:t>
      </w:r>
      <w:r>
        <w:rPr>
          <w:rFonts w:hint="eastAsia" w:ascii="仿宋_GB2312" w:eastAsia="仿宋_GB2312"/>
          <w:sz w:val="28"/>
          <w:szCs w:val="28"/>
        </w:rPr>
        <w:t>具有本市户籍；非本市户籍的，具备有效期内《上海市居住证》一年以上，计算截止时间为2022年12月31日；</w:t>
      </w:r>
    </w:p>
    <w:p>
      <w:pPr>
        <w:spacing w:line="420" w:lineRule="exact"/>
        <w:rPr>
          <w:rFonts w:ascii="仿宋_GB2312" w:eastAsia="仿宋_GB2312"/>
          <w:sz w:val="28"/>
          <w:szCs w:val="28"/>
        </w:rPr>
      </w:pPr>
      <w:r>
        <w:rPr>
          <w:rFonts w:hint="eastAsia" w:ascii="微软雅黑" w:hAnsi="微软雅黑" w:eastAsia="微软雅黑" w:cs="微软雅黑"/>
          <w:sz w:val="28"/>
          <w:szCs w:val="28"/>
        </w:rPr>
        <w:t xml:space="preserve"> </w:t>
      </w:r>
      <w:r>
        <w:rPr>
          <w:rFonts w:ascii="微软雅黑" w:hAnsi="微软雅黑" w:eastAsia="微软雅黑" w:cs="微软雅黑"/>
          <w:sz w:val="28"/>
          <w:szCs w:val="28"/>
        </w:rPr>
        <w:t xml:space="preserve">   </w:t>
      </w:r>
      <w:r>
        <w:rPr>
          <w:rFonts w:hint="eastAsia" w:ascii="微软雅黑" w:hAnsi="微软雅黑" w:eastAsia="微软雅黑" w:cs="微软雅黑"/>
          <w:sz w:val="28"/>
          <w:szCs w:val="28"/>
        </w:rPr>
        <w:t>②</w:t>
      </w:r>
      <w:r>
        <w:rPr>
          <w:rFonts w:hint="eastAsia" w:ascii="仿宋_GB2312" w:eastAsia="仿宋_GB2312"/>
          <w:sz w:val="28"/>
          <w:szCs w:val="28"/>
        </w:rPr>
        <w:t>年龄在40周岁以下（1982年1月1日以后出生）；具有专业技术副高职称者年龄需在45周岁以下（1977年1月1日以后出生）；特别优秀的（获得国家级奖励或国家级荣誉称号）具有专业技术副高职称者年龄可放宽至47周岁（1975年1月1日以后出生）；</w:t>
      </w:r>
    </w:p>
    <w:p>
      <w:pPr>
        <w:spacing w:line="420" w:lineRule="exact"/>
        <w:ind w:firstLine="560" w:firstLineChars="200"/>
        <w:rPr>
          <w:rFonts w:hint="eastAsia" w:ascii="仿宋_GB2312" w:eastAsia="仿宋_GB2312"/>
          <w:color w:val="0D0D0D"/>
          <w:sz w:val="28"/>
          <w:szCs w:val="28"/>
        </w:rPr>
      </w:pPr>
      <w:r>
        <w:rPr>
          <w:rFonts w:hint="eastAsia" w:ascii="微软雅黑" w:hAnsi="微软雅黑" w:eastAsia="微软雅黑" w:cs="微软雅黑"/>
          <w:sz w:val="28"/>
          <w:szCs w:val="28"/>
        </w:rPr>
        <w:t>③</w:t>
      </w:r>
      <w:r>
        <w:rPr>
          <w:rFonts w:hint="eastAsia" w:ascii="仿宋_GB2312" w:eastAsia="仿宋_GB2312"/>
          <w:color w:val="0D0D0D"/>
          <w:sz w:val="28"/>
          <w:szCs w:val="28"/>
        </w:rPr>
        <w:t>具有高等学校教师资格证。</w:t>
      </w:r>
    </w:p>
    <w:p>
      <w:pPr>
        <w:widowControl/>
        <w:numPr>
          <w:ilvl w:val="0"/>
          <w:numId w:val="1"/>
        </w:numPr>
        <w:wordWrap w:val="0"/>
        <w:spacing w:line="420" w:lineRule="exact"/>
        <w:jc w:val="left"/>
        <w:rPr>
          <w:rFonts w:ascii="仿宋_GB2312" w:hAnsi="ˎ̥" w:eastAsia="仿宋_GB2312" w:cs="宋体"/>
          <w:b/>
          <w:bCs/>
          <w:color w:val="0D0D0D"/>
          <w:kern w:val="0"/>
          <w:sz w:val="28"/>
          <w:szCs w:val="28"/>
        </w:rPr>
      </w:pPr>
      <w:r>
        <w:rPr>
          <w:rFonts w:hint="eastAsia" w:ascii="仿宋_GB2312" w:hAnsi="ˎ̥" w:eastAsia="仿宋_GB2312" w:cs="宋体"/>
          <w:b/>
          <w:bCs/>
          <w:color w:val="0D0D0D"/>
          <w:kern w:val="0"/>
          <w:sz w:val="28"/>
          <w:szCs w:val="28"/>
        </w:rPr>
        <w:t>报名时间及方式：</w:t>
      </w:r>
    </w:p>
    <w:p>
      <w:pPr>
        <w:widowControl/>
        <w:wordWrap w:val="0"/>
        <w:spacing w:line="420" w:lineRule="exact"/>
        <w:jc w:val="left"/>
        <w:rPr>
          <w:rFonts w:hint="eastAsia" w:ascii="仿宋_GB2312" w:hAnsi="ˎ̥" w:eastAsia="仿宋_GB2312" w:cs="宋体"/>
          <w:b/>
          <w:bCs/>
          <w:color w:val="0D0D0D"/>
          <w:kern w:val="0"/>
          <w:sz w:val="28"/>
          <w:szCs w:val="28"/>
        </w:rPr>
      </w:pPr>
      <w:r>
        <w:rPr>
          <w:rFonts w:hint="eastAsia" w:ascii="仿宋_GB2312" w:hAnsi="ˎ̥" w:eastAsia="仿宋_GB2312" w:cs="宋体"/>
          <w:b/>
          <w:bCs/>
          <w:color w:val="0D0D0D"/>
          <w:kern w:val="0"/>
          <w:sz w:val="28"/>
          <w:szCs w:val="28"/>
        </w:rPr>
        <w:t xml:space="preserve">    </w:t>
      </w:r>
      <w:r>
        <w:rPr>
          <w:rFonts w:hint="eastAsia" w:ascii="仿宋_GB2312" w:hAnsi="ˎ̥" w:eastAsia="仿宋_GB2312" w:cs="宋体"/>
          <w:kern w:val="0"/>
          <w:sz w:val="28"/>
          <w:szCs w:val="28"/>
        </w:rPr>
        <w:t>报名时间：</w:t>
      </w:r>
      <w:r>
        <w:rPr>
          <w:rFonts w:hint="eastAsia" w:ascii="仿宋_GB2312" w:hAnsi="宋体" w:eastAsia="仿宋_GB2312"/>
          <w:sz w:val="28"/>
          <w:szCs w:val="28"/>
        </w:rPr>
        <w:t>202</w:t>
      </w:r>
      <w:r>
        <w:rPr>
          <w:rFonts w:ascii="仿宋_GB2312" w:hAnsi="宋体" w:eastAsia="仿宋_GB2312"/>
          <w:sz w:val="28"/>
          <w:szCs w:val="28"/>
        </w:rPr>
        <w:t>2</w:t>
      </w:r>
      <w:r>
        <w:rPr>
          <w:rFonts w:hint="eastAsia" w:ascii="仿宋_GB2312" w:hAnsi="宋体" w:eastAsia="仿宋_GB2312"/>
          <w:sz w:val="28"/>
          <w:szCs w:val="28"/>
        </w:rPr>
        <w:t>年3月31日上午9:00---- 20</w:t>
      </w:r>
      <w:r>
        <w:rPr>
          <w:rFonts w:ascii="仿宋_GB2312" w:hAnsi="宋体" w:eastAsia="仿宋_GB2312"/>
          <w:sz w:val="28"/>
          <w:szCs w:val="28"/>
        </w:rPr>
        <w:t>22</w:t>
      </w:r>
      <w:r>
        <w:rPr>
          <w:rFonts w:hint="eastAsia" w:ascii="仿宋_GB2312" w:hAnsi="宋体" w:eastAsia="仿宋_GB2312"/>
          <w:sz w:val="28"/>
          <w:szCs w:val="28"/>
        </w:rPr>
        <w:t>年4月12日中午11:00之前（第二批）</w:t>
      </w:r>
    </w:p>
    <w:p>
      <w:pPr>
        <w:widowControl/>
        <w:wordWrap w:val="0"/>
        <w:spacing w:line="420" w:lineRule="exact"/>
        <w:jc w:val="left"/>
        <w:rPr>
          <w:rFonts w:hint="eastAsia" w:ascii="仿宋_GB2312" w:hAnsi="ˎ̥" w:eastAsia="仿宋_GB2312" w:cs="宋体"/>
          <w:color w:val="0D0D0D"/>
          <w:kern w:val="0"/>
          <w:sz w:val="28"/>
          <w:szCs w:val="28"/>
        </w:rPr>
      </w:pPr>
      <w:r>
        <w:rPr>
          <w:rFonts w:hint="eastAsia" w:ascii="仿宋_GB2312" w:hAnsi="ˎ̥" w:eastAsia="仿宋_GB2312" w:cs="宋体"/>
          <w:b/>
          <w:bCs/>
          <w:color w:val="0D0D0D"/>
          <w:kern w:val="0"/>
          <w:sz w:val="28"/>
          <w:szCs w:val="28"/>
        </w:rPr>
        <w:t xml:space="preserve">   </w:t>
      </w:r>
      <w:r>
        <w:rPr>
          <w:rFonts w:ascii="仿宋_GB2312" w:hAnsi="ˎ̥" w:eastAsia="仿宋_GB2312" w:cs="宋体"/>
          <w:b/>
          <w:bCs/>
          <w:color w:val="0D0D0D"/>
          <w:kern w:val="0"/>
          <w:sz w:val="28"/>
          <w:szCs w:val="28"/>
        </w:rPr>
        <w:t xml:space="preserve"> </w:t>
      </w:r>
      <w:r>
        <w:rPr>
          <w:rFonts w:hint="eastAsia" w:ascii="仿宋_GB2312" w:hAnsi="ˎ̥" w:eastAsia="仿宋_GB2312" w:cs="宋体"/>
          <w:color w:val="0D0D0D"/>
          <w:kern w:val="0"/>
          <w:sz w:val="28"/>
          <w:szCs w:val="28"/>
        </w:rPr>
        <w:t>简历邮箱：janhr@sjdc.net.cn</w:t>
      </w:r>
    </w:p>
    <w:p>
      <w:pPr>
        <w:widowControl/>
        <w:wordWrap w:val="0"/>
        <w:spacing w:line="420" w:lineRule="exact"/>
        <w:ind w:firstLine="560" w:firstLineChars="200"/>
        <w:jc w:val="left"/>
        <w:rPr>
          <w:rFonts w:ascii="仿宋_GB2312" w:hAnsi="ˎ̥" w:eastAsia="仿宋_GB2312" w:cs="宋体"/>
          <w:color w:val="0D0D0D"/>
          <w:kern w:val="0"/>
          <w:sz w:val="28"/>
          <w:szCs w:val="28"/>
        </w:rPr>
      </w:pPr>
      <w:r>
        <w:rPr>
          <w:rFonts w:hint="eastAsia" w:ascii="仿宋_GB2312" w:hAnsi="ˎ̥" w:eastAsia="仿宋_GB2312" w:cs="宋体"/>
          <w:color w:val="0D0D0D"/>
          <w:kern w:val="0"/>
          <w:sz w:val="28"/>
          <w:szCs w:val="28"/>
        </w:rPr>
        <w:t>具体联系人：王老师，赵老师</w:t>
      </w:r>
    </w:p>
    <w:p>
      <w:pPr>
        <w:widowControl/>
        <w:wordWrap w:val="0"/>
        <w:spacing w:line="420" w:lineRule="exact"/>
        <w:jc w:val="left"/>
        <w:rPr>
          <w:rFonts w:hint="eastAsia" w:ascii="仿宋_GB2312" w:hAnsi="ˎ̥" w:eastAsia="仿宋_GB2312" w:cs="宋体"/>
          <w:b/>
          <w:bCs/>
          <w:color w:val="0D0D0D"/>
          <w:kern w:val="0"/>
          <w:sz w:val="28"/>
          <w:szCs w:val="28"/>
        </w:rPr>
      </w:pPr>
      <w:r>
        <w:rPr>
          <w:rFonts w:hint="eastAsia" w:ascii="仿宋_GB2312" w:hAnsi="ˎ̥" w:eastAsia="仿宋_GB2312" w:cs="宋体"/>
          <w:b/>
          <w:bCs/>
          <w:color w:val="0D0D0D"/>
          <w:kern w:val="0"/>
          <w:sz w:val="28"/>
          <w:szCs w:val="28"/>
        </w:rPr>
        <w:t>五、考试方法和内容</w:t>
      </w:r>
    </w:p>
    <w:p>
      <w:pPr>
        <w:widowControl/>
        <w:wordWrap w:val="0"/>
        <w:spacing w:line="420" w:lineRule="exact"/>
        <w:ind w:firstLine="560" w:firstLineChars="200"/>
        <w:jc w:val="left"/>
        <w:rPr>
          <w:rFonts w:hint="eastAsia" w:ascii="仿宋_GB2312" w:hAnsi="ˎ̥" w:eastAsia="仿宋_GB2312" w:cs="宋体"/>
          <w:b/>
          <w:bCs/>
          <w:color w:val="0D0D0D"/>
          <w:kern w:val="0"/>
          <w:sz w:val="28"/>
          <w:szCs w:val="28"/>
        </w:rPr>
      </w:pPr>
      <w:r>
        <w:rPr>
          <w:rFonts w:hint="eastAsia" w:ascii="仿宋_GB2312" w:hAnsi="ˎ̥" w:eastAsia="仿宋_GB2312" w:cs="宋体"/>
          <w:color w:val="0D0D0D"/>
          <w:kern w:val="0"/>
          <w:sz w:val="28"/>
          <w:szCs w:val="28"/>
        </w:rPr>
        <w:t>上海市静安区业余大学择优组织应聘教师综合考评后向区教育人才服务中心上报合格人员个人信息及面试评价表。静安区教育人才服务中心组织学科组专家对应聘教师进行综合评价，综合评价分为笔试和面试，具体时间、地点以上海市静安区业余大学通知应聘教师为准。</w:t>
      </w:r>
    </w:p>
    <w:p>
      <w:pPr>
        <w:widowControl/>
        <w:wordWrap w:val="0"/>
        <w:spacing w:line="420" w:lineRule="exact"/>
        <w:jc w:val="left"/>
        <w:rPr>
          <w:rFonts w:hint="eastAsia" w:ascii="仿宋_GB2312" w:hAnsi="ˎ̥" w:eastAsia="仿宋_GB2312" w:cs="宋体"/>
          <w:b/>
          <w:bCs/>
          <w:color w:val="0D0D0D"/>
          <w:kern w:val="0"/>
          <w:sz w:val="28"/>
          <w:szCs w:val="28"/>
        </w:rPr>
      </w:pPr>
      <w:r>
        <w:rPr>
          <w:rFonts w:hint="eastAsia" w:ascii="仿宋_GB2312" w:hAnsi="ˎ̥" w:eastAsia="仿宋_GB2312" w:cs="宋体"/>
          <w:b/>
          <w:bCs/>
          <w:color w:val="0D0D0D"/>
          <w:kern w:val="0"/>
          <w:sz w:val="28"/>
          <w:szCs w:val="28"/>
        </w:rPr>
        <w:t>六、其他事宜</w:t>
      </w:r>
    </w:p>
    <w:p>
      <w:pPr>
        <w:widowControl/>
        <w:wordWrap w:val="0"/>
        <w:spacing w:line="420" w:lineRule="exact"/>
        <w:ind w:firstLine="560" w:firstLineChars="200"/>
        <w:jc w:val="left"/>
        <w:rPr>
          <w:rFonts w:hint="eastAsia" w:ascii="仿宋_GB2312" w:hAnsi="ˎ̥" w:eastAsia="仿宋_GB2312" w:cs="宋体"/>
          <w:b/>
          <w:bCs/>
          <w:color w:val="0D0D0D"/>
          <w:kern w:val="0"/>
          <w:sz w:val="28"/>
          <w:szCs w:val="28"/>
        </w:rPr>
      </w:pPr>
      <w:r>
        <w:rPr>
          <w:rFonts w:hint="eastAsia" w:ascii="仿宋_GB2312" w:hAnsi="ˎ̥" w:eastAsia="仿宋_GB2312" w:cs="宋体"/>
          <w:color w:val="0D0D0D"/>
          <w:kern w:val="0"/>
          <w:sz w:val="28"/>
          <w:szCs w:val="28"/>
        </w:rPr>
        <w:t>拟聘用教师需进行心理测试。体检、考察工作参照公务员录用标准和要求执行。拟聘用人员名单在“静安门户网站”公示7天，同时公布监督（举报）电话，接受社会监督。</w:t>
      </w:r>
    </w:p>
    <w:p>
      <w:pPr>
        <w:widowControl/>
        <w:wordWrap w:val="0"/>
        <w:spacing w:line="420" w:lineRule="exact"/>
        <w:jc w:val="left"/>
        <w:rPr>
          <w:rFonts w:hint="eastAsia" w:ascii="仿宋_GB2312" w:hAnsi="ˎ̥" w:eastAsia="仿宋_GB2312" w:cs="宋体"/>
          <w:b/>
          <w:bCs/>
          <w:color w:val="0D0D0D"/>
          <w:kern w:val="0"/>
          <w:sz w:val="28"/>
          <w:szCs w:val="28"/>
        </w:rPr>
      </w:pPr>
      <w:r>
        <w:rPr>
          <w:rFonts w:hint="eastAsia" w:ascii="仿宋_GB2312" w:hAnsi="ˎ̥" w:eastAsia="仿宋_GB2312" w:cs="宋体"/>
          <w:b/>
          <w:bCs/>
          <w:color w:val="0D0D0D"/>
          <w:kern w:val="0"/>
          <w:sz w:val="28"/>
          <w:szCs w:val="28"/>
        </w:rPr>
        <w:t>七、疫情防控要求</w:t>
      </w:r>
    </w:p>
    <w:p>
      <w:pPr>
        <w:widowControl/>
        <w:wordWrap w:val="0"/>
        <w:spacing w:line="420" w:lineRule="exact"/>
        <w:ind w:firstLine="560" w:firstLineChars="200"/>
        <w:jc w:val="left"/>
        <w:rPr>
          <w:rFonts w:ascii="仿宋_GB2312" w:hAnsi="ˎ̥" w:eastAsia="仿宋_GB2312" w:cs="宋体"/>
          <w:color w:val="0D0D0D"/>
          <w:kern w:val="0"/>
          <w:sz w:val="28"/>
          <w:szCs w:val="28"/>
        </w:rPr>
      </w:pPr>
      <w:r>
        <w:rPr>
          <w:rFonts w:hint="eastAsia" w:ascii="仿宋_GB2312" w:hAnsi="ˎ̥" w:eastAsia="仿宋_GB2312" w:cs="宋体"/>
          <w:color w:val="0D0D0D"/>
          <w:kern w:val="0"/>
          <w:sz w:val="28"/>
          <w:szCs w:val="28"/>
        </w:rPr>
        <w:t>在本次招聘组织实施过程中，将严格按照国家和市、区新冠肺炎疫情防控有关要求，落实防疫措施，必要时可对有关工作安排进行适当调整。请广大报考者理解、支持和配合。</w:t>
      </w:r>
    </w:p>
    <w:p>
      <w:pPr>
        <w:widowControl/>
        <w:wordWrap w:val="0"/>
        <w:spacing w:line="420" w:lineRule="exact"/>
        <w:ind w:firstLine="560" w:firstLineChars="200"/>
        <w:jc w:val="right"/>
        <w:rPr>
          <w:rFonts w:ascii="仿宋_GB2312" w:hAnsi="ˎ̥" w:eastAsia="仿宋_GB2312" w:cs="宋体"/>
          <w:color w:val="0D0D0D"/>
          <w:kern w:val="0"/>
          <w:sz w:val="28"/>
          <w:szCs w:val="28"/>
        </w:rPr>
      </w:pPr>
      <w:r>
        <w:rPr>
          <w:rFonts w:hint="eastAsia" w:ascii="仿宋_GB2312" w:hAnsi="ˎ̥" w:eastAsia="仿宋_GB2312" w:cs="宋体"/>
          <w:color w:val="0D0D0D"/>
          <w:kern w:val="0"/>
          <w:sz w:val="28"/>
          <w:szCs w:val="28"/>
        </w:rPr>
        <w:t>上海市静安区业余大学</w:t>
      </w:r>
    </w:p>
    <w:p>
      <w:pPr>
        <w:widowControl/>
        <w:wordWrap w:val="0"/>
        <w:spacing w:line="420" w:lineRule="exact"/>
        <w:ind w:firstLine="560" w:firstLineChars="200"/>
        <w:jc w:val="right"/>
        <w:rPr>
          <w:rFonts w:hint="eastAsia" w:ascii="仿宋_GB2312" w:hAnsi="ˎ̥" w:eastAsia="仿宋_GB2312" w:cs="宋体"/>
          <w:color w:val="0D0D0D"/>
          <w:kern w:val="0"/>
          <w:sz w:val="28"/>
          <w:szCs w:val="28"/>
        </w:rPr>
      </w:pPr>
      <w:r>
        <w:rPr>
          <w:rFonts w:hint="eastAsia" w:ascii="仿宋_GB2312" w:hAnsi="ˎ̥" w:eastAsia="仿宋_GB2312" w:cs="宋体"/>
          <w:color w:val="0D0D0D"/>
          <w:kern w:val="0"/>
          <w:sz w:val="28"/>
          <w:szCs w:val="28"/>
        </w:rPr>
        <w:t>2</w:t>
      </w:r>
      <w:r>
        <w:rPr>
          <w:rFonts w:ascii="仿宋_GB2312" w:hAnsi="ˎ̥" w:eastAsia="仿宋_GB2312" w:cs="宋体"/>
          <w:color w:val="0D0D0D"/>
          <w:kern w:val="0"/>
          <w:sz w:val="28"/>
          <w:szCs w:val="28"/>
        </w:rPr>
        <w:t>022</w:t>
      </w:r>
      <w:r>
        <w:rPr>
          <w:rFonts w:hint="eastAsia" w:ascii="仿宋_GB2312" w:hAnsi="ˎ̥" w:eastAsia="仿宋_GB2312" w:cs="宋体"/>
          <w:color w:val="0D0D0D"/>
          <w:kern w:val="0"/>
          <w:sz w:val="28"/>
          <w:szCs w:val="28"/>
        </w:rPr>
        <w:t>年3月25日</w:t>
      </w:r>
    </w:p>
    <w:p>
      <w:pPr>
        <w:rPr>
          <w:rFonts w:hint="eastAsia"/>
          <w:lang w:eastAsia="zh-CN"/>
        </w:rPr>
      </w:pPr>
      <w:bookmarkStart w:id="0" w:name="_GoBack"/>
      <w:bookmarkEnd w:id="0"/>
    </w:p>
    <w:sectPr>
      <w:headerReference r:id="rId3" w:type="default"/>
      <w:pgSz w:w="16838" w:h="11906" w:orient="landscape"/>
      <w:pgMar w:top="1797" w:right="1440" w:bottom="1797" w:left="709"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Lucida Sans Unicode">
    <w:panose1 w:val="020B0602030504020204"/>
    <w:charset w:val="00"/>
    <w:family w:val="auto"/>
    <w:pitch w:val="default"/>
    <w:sig w:usb0="80001AFF" w:usb1="0000396B" w:usb2="00000000" w:usb3="00000000" w:csb0="200000BF" w:csb1="D7F7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长城仿宋">
    <w:altName w:val="仿宋"/>
    <w:panose1 w:val="02010609000101010101"/>
    <w:charset w:val="86"/>
    <w:family w:val="modern"/>
    <w:pitch w:val="default"/>
    <w:sig w:usb0="00000000" w:usb1="00000000" w:usb2="00000010" w:usb3="00000000" w:csb0="00040000" w:csb1="00000000"/>
  </w:font>
  <w:font w:name="方正仿宋_GB2312">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none">
    <w:altName w:val="Segoe Print"/>
    <w:panose1 w:val="00000000000000000000"/>
    <w:charset w:val="00"/>
    <w:family w:val="auto"/>
    <w:pitch w:val="default"/>
    <w:sig w:usb0="00000000" w:usb1="00000000" w:usb2="00000000" w:usb3="00000000" w:csb0="00000000" w:csb1="00000000"/>
  </w:font>
  <w:font w:name="ˎ̥">
    <w:altName w:val="Times New Roman"/>
    <w:panose1 w:val="00000000000000000000"/>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7FDDAF8"/>
    <w:multiLevelType w:val="singleLevel"/>
    <w:tmpl w:val="D7FDDAF8"/>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D229F1"/>
    <w:rsid w:val="05D779E7"/>
    <w:rsid w:val="0E2008F7"/>
    <w:rsid w:val="0F7C2991"/>
    <w:rsid w:val="17EA49C5"/>
    <w:rsid w:val="188B46F0"/>
    <w:rsid w:val="194C2752"/>
    <w:rsid w:val="200B4417"/>
    <w:rsid w:val="2AE309A7"/>
    <w:rsid w:val="349B525F"/>
    <w:rsid w:val="367F63E5"/>
    <w:rsid w:val="4EFA3439"/>
    <w:rsid w:val="6BF16240"/>
    <w:rsid w:val="72E857DD"/>
    <w:rsid w:val="7CD229F1"/>
    <w:rsid w:val="7F947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nhideWhenUsed/>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page number"/>
    <w:basedOn w:val="6"/>
    <w:uiPriority w:val="0"/>
  </w:style>
  <w:style w:type="character" w:styleId="9">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2022-03-31T01:27:00Z</dcterms:created>
  <dc:creator>Administrator</dc:creator>
  <cp:lastModifiedBy>Administrator</cp:lastModifiedBy>
  <dcterms:modified xsi:type="dcterms:W3CDTF">2022-03-31T02:27:25Z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C56E5CB36E524F25BD291D8935A2BC14</vt:lpwstr>
  </property>
</Properties>
</file>