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附件1</w:t>
      </w:r>
    </w:p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hAnsi="Times New Roman" w:eastAsia="方正小标宋_GBK"/>
          <w:color w:val="000000"/>
          <w:sz w:val="44"/>
          <w:szCs w:val="32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32"/>
        </w:rPr>
        <w:t>成都市金牛区2022年公开考核招聘优秀教育</w:t>
      </w:r>
    </w:p>
    <w:p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32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32"/>
        </w:rPr>
        <w:t>人才岗位信息表</w:t>
      </w:r>
    </w:p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79"/>
        <w:gridCol w:w="326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70" w:lineRule="exact"/>
              <w:ind w:firstLine="660" w:firstLineChars="250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2573" w:type="dxa"/>
            <w:shd w:val="clear" w:color="auto" w:fill="auto"/>
            <w:noWrap w:val="0"/>
            <w:vAlign w:val="top"/>
          </w:tcPr>
          <w:p>
            <w:pPr>
              <w:spacing w:line="570" w:lineRule="exact"/>
              <w:ind w:firstLine="396" w:firstLineChars="150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成都七中万达学校</w:t>
            </w:r>
          </w:p>
        </w:tc>
        <w:tc>
          <w:tcPr>
            <w:tcW w:w="25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1.大学本科及以上学历；2.年龄在45周岁及以下（19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76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月5日以后出生）；3.具有中小学高级教师及以上职称（职教为高级讲师及以上）；4.高级职称证书任教学科与报考岗位学科一致。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高中物理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成都七中万达学校、成都市第十八中学校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高中生物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成都市第二十中学校、成都市通锦中学校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职高计算机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成都市财贸职业高级中学校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成都市金牛实验中学校、成都市石笋街学校（九义校）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初中数学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成都市沙河中学校、成都市石笋街学校（九义校）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成都市铁路中学校、成都七中万达学校、成都市沙河中学校、成都七中八一学校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成都市铁路中学校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初中信息技术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firstLine="448" w:firstLineChars="20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成都市金牛实验中学校</w:t>
            </w:r>
          </w:p>
        </w:tc>
        <w:tc>
          <w:tcPr>
            <w:tcW w:w="257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70" w:lineRule="exact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Times New Roman" w:hAnsi="Times New Roman" w:eastAsia="方正仿宋_GBK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7B29"/>
    <w:rsid w:val="2DFA5F0C"/>
    <w:rsid w:val="40727B29"/>
    <w:rsid w:val="4A953731"/>
    <w:rsid w:val="4B700699"/>
    <w:rsid w:val="61741F6A"/>
    <w:rsid w:val="63F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Administrator</cp:lastModifiedBy>
  <dcterms:modified xsi:type="dcterms:W3CDTF">2022-03-28T02:04:00Z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043F1BABB2924DB79BC1C9CAF5432D40</vt:lpwstr>
  </property>
</Properties>
</file>