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auto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6</w:t>
      </w: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</w:p>
    <w:p>
      <w:pPr>
        <w:pStyle w:val="10"/>
        <w:shd w:val="clear" w:color="auto" w:fill="auto"/>
        <w:spacing w:line="600" w:lineRule="exact"/>
        <w:rPr>
          <w:rFonts w:hint="eastAsia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  <w:t>普通高等学校研究生专业目录</w:t>
      </w: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（2012年）</w:t>
      </w: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仿宋_GB2312"/>
          <w:szCs w:val="32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hint="eastAsia" w:ascii="楷体_GB2312" w:eastAsia="楷体_GB2312"/>
          <w:b/>
          <w:sz w:val="36"/>
          <w:szCs w:val="36"/>
          <w:highlight w:val="none"/>
        </w:rPr>
      </w:pPr>
    </w:p>
    <w:p>
      <w:pPr>
        <w:pStyle w:val="10"/>
        <w:shd w:val="clear" w:color="auto" w:fill="auto"/>
        <w:adjustRightInd w:val="0"/>
        <w:snapToGrid w:val="0"/>
        <w:spacing w:line="600" w:lineRule="exact"/>
        <w:rPr>
          <w:rFonts w:ascii="Times New Roman" w:eastAsia="楷体_GB2312"/>
          <w:sz w:val="36"/>
          <w:szCs w:val="36"/>
          <w:highlight w:val="none"/>
        </w:rPr>
      </w:pPr>
    </w:p>
    <w:p>
      <w:pPr>
        <w:shd w:val="clear" w:color="auto" w:fill="auto"/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shd w:val="clear" w:color="auto" w:fill="auto"/>
        <w:ind w:firstLine="640" w:firstLineChars="200"/>
        <w:rPr>
          <w:rFonts w:hint="eastAsia" w:ascii="仿宋_GB2312" w:eastAsia="仿宋_GB2312" w:cs="Arial"/>
          <w:sz w:val="32"/>
          <w:szCs w:val="32"/>
          <w:highlight w:val="none"/>
        </w:rPr>
        <w:sectPr>
          <w:footerReference r:id="rId3" w:type="even"/>
          <w:pgSz w:w="11906" w:h="16838"/>
          <w:pgMar w:top="1701" w:right="1588" w:bottom="1417" w:left="1588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、《招收研究生的学科、专业名称代码册》（以下简称“代码册”），与《授予博士、硕士学位和培养研究生的学科、专业目录》（以下简称“专业目录”）中的学科门类、一级学科和二级学科（学科、专业）的代码表示方法一致，即分别为二位、四位和六位阿拉伯数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2、本“代码册”对“专业目录”中可授予不同学科门类学位的学科、专业编制了新的专业代码（第3位均为“7”）。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3、本“代码册”中学科、专业名称后括号内四位和六位数字为该学科在“专业目录”中的一级学科和二级学科代码。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4、各有权自主设置二级学科的招生单位，自主设置二级学科代码的规则是：二级学科代码的前四位与该二级学科所在的一级学科代码相同，后两位从“20”开始依次排序。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_GB2312" w:eastAsia="仿宋_GB2312" w:cs="Arial"/>
          <w:sz w:val="28"/>
          <w:szCs w:val="32"/>
          <w:highlight w:val="none"/>
        </w:rPr>
      </w:pPr>
    </w:p>
    <w:tbl>
      <w:tblPr>
        <w:tblStyle w:val="5"/>
        <w:tblW w:w="81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390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外国哲学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逻辑学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伦理学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宗教学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科学技术哲学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理论经济学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政治经济学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经济思想史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经济史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西方经济学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世界经济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人口、资源与环境经济学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国民经济学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区域经济学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财政学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产业经济学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国际贸易学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劳动经济学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数量经济学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国防经济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法学理论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法律史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宪法学与行政法学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刑法学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民商法学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诉讼法学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经济法学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环境与资源保护法学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国际法学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法律硕士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政治学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政治学理论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中外政治制度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科学社会主义与国际共产主义运动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中共党史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国际政治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国际关系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外交学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人口学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民俗学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马克思主义民族理论与政策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中国少数民族经济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中国少数民族史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中国少数民族艺术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马克思主义发展史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马克思主义中国化研究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国外马克思主义研究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比较教育学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高等教育学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成人教育学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职业技术教育学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特殊教育学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体育学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民族传统体育学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047003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教育经济与管理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语言学及应用语言学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中国古典文献学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中国少数民族语言文学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比较文学与世界文学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英语语言文学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俄语语言文学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德语语言文学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日语语言文学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印度语言文学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西班牙语语言文学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阿拉伯语语言文学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欧洲语言文学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亚非语言文学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外国语言学及应用语言学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传播学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b/>
                <w:bCs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戏剧戏曲学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电影学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广播电视艺术学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050408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舞蹈学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史学理论及史学史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考古学及博物馆学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历史地理学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历史文献学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专门史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中国古代史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中国近现代史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060108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世界史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基础数学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概率论与数理统计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运筹学与控制论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理论物理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粒子物理与原子核物理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原子与分子物理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等离子体物理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凝聚态物理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光学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无线电物理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无机化学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分析化学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有机化学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物理化学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高分子化学与物理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天文学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天体物理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天体测量与天体力学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自然地理学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人文地理学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地图学与地理信息系统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大气科学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气象学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大气物理学与大气环境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海洋科学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物理海洋学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海洋化学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海洋生物学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海洋地质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地球物理学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古生物学与地层学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植物学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动物学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微生物学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神经生物学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遗传学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发育生物学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生物物理学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生态学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系统科学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系统理论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系统分析与集成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cs="Arial"/>
                <w:b/>
                <w:bCs/>
                <w:sz w:val="28"/>
                <w:szCs w:val="28"/>
                <w:highlight w:val="none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（</w:t>
            </w:r>
            <w:r>
              <w:rPr>
                <w:rFonts w:cs="Arial"/>
                <w:sz w:val="22"/>
                <w:szCs w:val="22"/>
                <w:highlight w:val="none"/>
              </w:rPr>
              <w:t>040201）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（</w:t>
            </w:r>
            <w:r>
              <w:rPr>
                <w:rFonts w:cs="Arial"/>
                <w:sz w:val="22"/>
                <w:szCs w:val="22"/>
                <w:highlight w:val="none"/>
              </w:rPr>
              <w:t>040202）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（</w:t>
            </w:r>
            <w:r>
              <w:rPr>
                <w:rFonts w:cs="Arial"/>
                <w:sz w:val="22"/>
                <w:szCs w:val="22"/>
                <w:highlight w:val="none"/>
              </w:rPr>
              <w:t>040203）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一般力学与力学基础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(08010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1</w:t>
            </w:r>
            <w:r>
              <w:rPr>
                <w:rFonts w:cs="Arial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固体力学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(08010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2</w:t>
            </w:r>
            <w:r>
              <w:rPr>
                <w:rFonts w:cs="Arial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(08010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3</w:t>
            </w:r>
            <w:r>
              <w:rPr>
                <w:rFonts w:cs="Arial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工程力学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(08010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4</w:t>
            </w:r>
            <w:r>
              <w:rPr>
                <w:rFonts w:cs="Arial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物理电子学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计算机系统结构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计算机软件与理论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人体解剖与组织胚胎学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免疫学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病原生物学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病理学与病理生理学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放射医学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航空、航天与航海医学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(100107)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流行病与卫生统计学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劳动卫生与环境卫生学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营养与食品卫生学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儿少卫生与妇幼保健学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卫生毒理学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</w:t>
            </w:r>
            <w:r>
              <w:rPr>
                <w:rFonts w:hint="eastAsia" w:cs="Arial"/>
                <w:sz w:val="22"/>
                <w:szCs w:val="22"/>
                <w:highlight w:val="none"/>
              </w:rPr>
              <w:t>8</w:t>
            </w:r>
            <w:r>
              <w:rPr>
                <w:rFonts w:cs="Arial"/>
                <w:sz w:val="22"/>
                <w:szCs w:val="22"/>
                <w:highlight w:val="none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药物化学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药物分析学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微生物与生化药学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一般力学与力学基础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固体力学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工程力学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机械制造及其自动化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机械电子工程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机械设计及理论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光学工程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仪器科学与技术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精密仪器及机械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测试计量技术及仪器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材料科学与工程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材料物理与化学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材料学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材料加工工程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冶金工程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冶金物理化学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钢铁冶金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有色金属冶金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动力工程及工程热物理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工程热物理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热能工程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动力机械及工程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流体机械及工程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制冷及低温工程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化工过程机械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电气工程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电机与电器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电力系统及其自动化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高电压与绝缘技术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电力电子与电力传动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电工理论与新技术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物理电子学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信息与通信工程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通信与信息系统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信号与信息处理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控制理论与控制工程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检测技术与自动化装置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系统工程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模式识别与智能系统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导航、制导与控制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计算机系统结构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计算机软件与理论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建筑历史与理论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建筑设计及其理论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城市规划与设计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建筑技术科学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建筑学硕士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结构工程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市政工程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供热、供燃气、通风及空调工程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防灾减灾工程及防护工程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桥梁与隧道工程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水文学及水资源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水力学及河流动力学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水工结构工程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港口、海岸及近海工程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测绘科学与技术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大地测量学与测量工程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摄影测量与遥感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地图制图学与地理信息工程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化学工程与技术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化学工程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化学工艺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生物化工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工业催化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地质资源与地质工程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矿产普查与勘探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地球探测与信息技术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地质工程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矿业工程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矿物加工工程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安全技术及工程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石油与天然气工程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油气井工程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油气田开发工程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油气储运工程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纺织科学与工程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纺织工程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纺织材料与纺织品设计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纺织化学与染整工程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服装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轻工技术与工程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制浆造纸工程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制糖工程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发酵工程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皮革化学与工程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交通运输工程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道路与铁道工程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交通信息工程及控制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交通运输规划与管理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载运工具运用工程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船舶与海洋工程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船舶与海洋结构物设计制造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轮机工程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运载工具运用工程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航空宇航科学与技术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飞行器设计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航空宇航推进理论与工程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航空宇航制造工程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人机与环境工程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兵器科学与技术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武器系统与运用工程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兵器发射理论与技术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火炮、自动武器与弹药工程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军事化学与烟火技术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核科学与技术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核能科学与工程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核燃料循环与材料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核技术及应用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辐射防护及环境保护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农业工程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农业机械化工程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农业水土工程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农业生物环境与能源工程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农业电气化与自动化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林业工程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森林工程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木材科学与技术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林产化学加工工程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粮食、油脂及植物蛋白工程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083204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作物学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作物栽培学与耕作学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作物遗传育种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园艺学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果树学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蔬菜学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农业资源利用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土壤学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植物营养学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植物保护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植物病理学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农业昆虫与害虫防治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畜牧学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动物遗传育种与繁殖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动物营养与饲料科学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草业科学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特种经济动物饲养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基础兽医学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预防兽医学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临床兽医学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林木遗传育种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森林培育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森林保护学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森林经理学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野生动植物保护与利用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园林植物与观赏园艺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水土保持与荒漠化防治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水产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水产养殖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捕捞学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渔业资源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粮食、油脂及植物蛋白工程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097204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水产品加工及贮藏工程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人体解剖与组织胚胎学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免疫学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病原生物学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病理学与病理生理学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法医学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放射医学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航空、航天与航海医学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儿科学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老年医学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神经病学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精神病与精神卫生学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皮肤病与性病学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影像医学与核医学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临床检验诊断学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外科学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妇产科学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眼科学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耳鼻咽喉科学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肿瘤学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康复医学与理疗学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运动医学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麻醉学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急诊医学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口腔基础医学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口腔临床医学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流行病与卫生统计学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劳动卫生与环境卫生学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营养与食品卫生学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儿少卫生与妇幼保健学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卫生毒理学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中医基础理论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中医临床基础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中医医史文献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方剂学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中医诊断学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中医内科学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中医外科学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中医骨伤科学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中医妇科学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中医儿科学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中医五官科学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民族医学</w:t>
            </w:r>
            <w:r>
              <w:rPr>
                <w:rFonts w:cs="Arial"/>
                <w:sz w:val="22"/>
                <w:szCs w:val="22"/>
                <w:highlight w:val="none"/>
              </w:rPr>
              <w:t>(蒙医)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中西医结合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中西医结合基础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中西医结合临床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药物化学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生药学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药物分析学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微生物与生化药学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药理学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107302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社会医学与卫生事业管理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军事学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军事思想及军事历史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军事思想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战略学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军事战略学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战争动员学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联合战役学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军种战役学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合同战术学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兵种战术学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军队指挥学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作战指挥学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军事运筹学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军事通信学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军事情报学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密码学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军事教育训练学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军制学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军事组织编制学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军队管理学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军队政治工作学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军事后勤学与军事装备学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军事后勤学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后方专业勤务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110803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军事装备学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Arial" w:eastAsia="黑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  <w:highlight w:val="none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企业管理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技术经济及管理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工商管理硕士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农林经济管理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农业经济管理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林业经济管理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社会医学与卫生事业管理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教育经济与管理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社会保障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土地资源管理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z w:val="28"/>
                <w:szCs w:val="28"/>
                <w:highlight w:val="none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  <w:highlight w:val="none"/>
              </w:rPr>
              <w:t>图书馆、情报与档案管理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图书馆学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情报学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cs="Arial"/>
                <w:sz w:val="22"/>
                <w:szCs w:val="22"/>
                <w:highlight w:val="none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Arial"/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sz w:val="22"/>
                <w:szCs w:val="22"/>
                <w:highlight w:val="none"/>
              </w:rPr>
              <w:t>档案学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</w:tc>
      </w:tr>
    </w:tbl>
    <w:p>
      <w:pPr>
        <w:shd w:val="clear" w:color="auto" w:fill="auto"/>
        <w:ind w:firstLine="560" w:firstLineChars="200"/>
        <w:rPr>
          <w:rFonts w:hint="eastAsia" w:ascii="仿宋_GB2312" w:eastAsia="仿宋_GB2312"/>
          <w:sz w:val="28"/>
          <w:highlight w:val="none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549B6FDF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5F76E275E53340D1B7C860AD8EE92F2D</vt:lpwstr>
  </property>
</Properties>
</file>