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华文中宋" w:eastAsia="黑体"/>
          <w:sz w:val="32"/>
          <w:szCs w:val="32"/>
        </w:rPr>
      </w:pPr>
      <w:r>
        <w:rPr>
          <w:rFonts w:hint="eastAsia" w:ascii="黑体" w:hAnsi="华文中宋" w:eastAsia="黑体"/>
          <w:sz w:val="32"/>
          <w:szCs w:val="32"/>
        </w:rPr>
        <w:t>附件3：</w:t>
      </w:r>
    </w:p>
    <w:p>
      <w:pPr>
        <w:spacing w:line="594" w:lineRule="exact"/>
        <w:ind w:firstLine="515" w:firstLineChars="161"/>
        <w:jc w:val="center"/>
        <w:rPr>
          <w:rFonts w:ascii="仿宋" w:hAnsi="仿宋" w:eastAsia="仿宋" w:cs="仿宋_GB2312"/>
          <w:color w:val="000000"/>
          <w:sz w:val="32"/>
          <w:szCs w:val="32"/>
        </w:rPr>
      </w:pPr>
    </w:p>
    <w:p>
      <w:pPr>
        <w:spacing w:line="594" w:lineRule="exact"/>
        <w:jc w:val="center"/>
        <w:rPr>
          <w:rFonts w:ascii="方正小标宋简体" w:hAnsi="仿宋" w:eastAsia="方正小标宋简体" w:cs="仿宋_GB2312"/>
          <w:color w:val="000000"/>
          <w:sz w:val="40"/>
          <w:szCs w:val="36"/>
        </w:rPr>
      </w:pPr>
      <w:r>
        <w:rPr>
          <w:rFonts w:hint="eastAsia" w:ascii="方正小标宋简体" w:hAnsi="仿宋" w:eastAsia="方正小标宋简体" w:cs="仿宋_GB2312"/>
          <w:color w:val="000000"/>
          <w:sz w:val="40"/>
          <w:szCs w:val="36"/>
        </w:rPr>
        <w:t>事业单位公开招聘违纪违规行为处理规定</w:t>
      </w:r>
    </w:p>
    <w:p>
      <w:pPr>
        <w:spacing w:line="594" w:lineRule="exact"/>
        <w:ind w:firstLine="515" w:firstLineChars="161"/>
        <w:jc w:val="center"/>
        <w:rPr>
          <w:rFonts w:ascii="仿宋" w:hAnsi="仿宋" w:eastAsia="仿宋" w:cs="仿宋_GB2312"/>
          <w:color w:val="000000"/>
          <w:sz w:val="32"/>
          <w:szCs w:val="32"/>
        </w:rPr>
      </w:pP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第一章  总 则</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第一条 为加强事业单位公开招聘工作管理，规范公开招聘违纪违规行为的认定与处理，保证招聘工作公开、公平、公正，根据《事业单位人事管理条例》等有关规定，制定本规定。</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第二条 事业单位公开招聘中违纪违规行为的认定与处理，适用本规定。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第三条 认定与处理公开招聘违纪违规行为，应当事实清楚、证据确凿、程序规范、适用规定准确。</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第四条 中央事业单位人事综合管理部门负责全国事业单位公开招聘工作的综合管理与监督。</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各级事业单位人事综合管理部门、事业单位主管部门、招聘单位按照事业单位公开招聘管理权限，依据本规定对公开招聘违纪违规行为进行认定与处理。</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第二章  应聘人员违纪违规行为处理</w:t>
      </w:r>
    </w:p>
    <w:p>
      <w:pPr>
        <w:spacing w:line="594" w:lineRule="exact"/>
        <w:ind w:firstLine="640" w:firstLineChars="200"/>
        <w:rPr>
          <w:rFonts w:ascii="仿宋" w:hAnsi="仿宋" w:eastAsia="仿宋" w:cs="仿宋_GB2312"/>
          <w:color w:val="000000"/>
          <w:sz w:val="32"/>
          <w:szCs w:val="32"/>
        </w:rPr>
      </w:pPr>
      <w:bookmarkStart w:id="0" w:name="_GoBack"/>
      <w:r>
        <w:rPr>
          <w:rFonts w:hint="eastAsia" w:ascii="仿宋" w:hAnsi="仿宋" w:eastAsia="仿宋" w:cs="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4432300</wp:posOffset>
                </wp:positionH>
                <wp:positionV relativeFrom="paragraph">
                  <wp:posOffset>1043940</wp:posOffset>
                </wp:positionV>
                <wp:extent cx="594995" cy="310515"/>
                <wp:effectExtent l="4445" t="4445" r="10160" b="8890"/>
                <wp:wrapNone/>
                <wp:docPr id="60" name="矩形 60"/>
                <wp:cNvGraphicFramePr/>
                <a:graphic xmlns:a="http://schemas.openxmlformats.org/drawingml/2006/main">
                  <a:graphicData uri="http://schemas.microsoft.com/office/word/2010/wordprocessingShape">
                    <wps:wsp>
                      <wps:cNvSpPr/>
                      <wps:spPr>
                        <a:xfrm>
                          <a:off x="0" y="0"/>
                          <a:ext cx="594995" cy="31051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49pt;margin-top:82.2pt;height:24.45pt;width:46.85pt;z-index:251659264;mso-width-relative:page;mso-height-relative:page;" fillcolor="#FFFFFF" filled="t" stroked="t" insetpen="f" coordsize="21600,21600" o:gfxdata="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Jxkm2QAAAAsBAAAPAAAAAAAAAAEAIAAAACIAAABkcnMvZG93bnJldi54bWxQ&#10;SwECFAAUAAAACACHTuJAHxe+vvYBAAAfBAAADgAAAAAAAAABACAAAAAoAQAAZHJzL2Uyb0RvYy54&#10;bWxQSwUGAAAAAAYABgBZAQAAkAUAAAAA&#10;">
                <v:path/>
                <v:fill on="t" alignshape="1" focussize="0,0"/>
                <v:stroke color="#FFFFFF" imagealignshape="1"/>
                <v:imagedata o:title=""/>
                <o:lock v:ext="edit"/>
              </v:rect>
            </w:pict>
          </mc:Fallback>
        </mc:AlternateContent>
      </w:r>
      <w:bookmarkEnd w:id="0"/>
      <w:r>
        <w:rPr>
          <w:rFonts w:hint="eastAsia" w:ascii="仿宋" w:hAnsi="仿宋" w:eastAsia="仿宋" w:cs="仿宋_GB2312"/>
          <w:color w:val="000000"/>
          <w:sz w:val="32"/>
          <w:szCs w:val="32"/>
        </w:rPr>
        <w:t>第五条 应聘人员在报名过程中有下列违纪违规行为之一的，取消其本次应聘资格：</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（一）伪造、涂改证件、证明等报名材料，或者以其他不正当手段获取应聘资格的；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（二）提供的涉及报考资格的申请材料或者信息不实，且影响报名审核结果的；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（三）其他应当取消其本次应聘资格的违纪违规行为。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第六条 应聘人员在考试过程中有下列违纪违规行为之一的，给予其当次该科目考试成绩无效的处理：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（一）携带规定以外的物品进入考场且未按要求放在指定位置，经提醒仍不改正的；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（二）未在规定座位参加考试，或者未经考试工作人员允许擅自离开座位或者考场，经提醒仍不改正的；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（三）经提醒仍不按规定填写、填涂本人信息的；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（四）在试卷、答题纸、答题卡规定以外位置标注本人信息或者其他特殊标记的；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（五）在考试开始信号发出前答题，或者在考试结束信号发出后继续答题，经提醒仍不停止的；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（六）将试卷、答题卡、答题纸带出考场，或者故意损坏试卷、答题卡、答题纸及考试相关设施设备的；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（七）其他应当给予当次该科目考试成绩无效处理的违纪违规行为。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（一）抄袭、协助他人抄袭的；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（二）互相传递试卷、答题纸、答题卡、草稿纸等的；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（三）持伪造证件参加考试的；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（四）使用禁止带入考场的通讯工具、规定以外的电子用品的；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（五）本人离开考场后，在本场考试结束前，传播考试试题及答案的；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（六）其他应当给予当次全部科目考试成绩无效处理并记入事业单位公开招聘应聘人员诚信档案库的严重违纪违规行为。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第八条 应聘人员有下列特别严重违纪违规行为之一的，给予其当次全部科目考试成绩无效的处理，并将其违纪违规行为记入事业单位公开招聘应聘人员诚信档案库，长期记录：</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（一）串通作弊或者参与有组织作弊的；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（二）代替他人或者让他人代替自己参加考试的；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（三）其他应当给予当次全部科目考试成绩无效处理并记入事业单位公开招聘应聘人员诚信档案库的特别严重的违纪违规行为。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（一）故意扰乱考点、考场以及其他招聘工作场所秩序的；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（二）拒绝、妨碍工作人员履行管理职责的；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（三）威胁、侮辱、诽谤、诬陷工作人员或者其他应聘人员的；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（四）其他扰乱招聘工作秩序的违纪违规行为。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应聘人员之间同一科目作答内容雷同，并有其他相关证据证明其违纪违规行为成立的，视具体情形按照本规定第七条、第八条处理。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第三章  招聘单位和招聘工作人员违纪违规行为处理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（一）未按规定权限和程序核准（备案）招聘方案，擅自组织公开招聘的；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（二）设置与岗位无关的指向性或者限制性条件的；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（三）未按规定发布招聘公告的；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（四）招聘公告发布后，擅自变更招聘程序、岗位条件、招聘人数、考试考察方式等的；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（五）未按招聘条件进行资格审查的；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（六）未按规定组织体检的；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（七）未按规定公示拟聘用人员名单的；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（八）其他应当责令改正的违纪违规行为。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第十六条 招聘工作人员有下列行为之一的，由相关部门给予处分，并停止其继续参加当年及下一年度招聘工作：</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（一）擅自提前考试开始时间、推迟考试结束时间及缩短考试时间的；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（二）擅自为应聘人员调换考场或者座位的；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（三）未准确记录考场情况及违纪违规行为，并造成一定影响的；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（四）未执行回避制度的；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（五）其他一般违纪违规行为。</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第十七条 招聘工作人员有下列行为之一的，由相关部门给予处分，并将其调离招聘工作岗位，不得再从事招聘工作；构成犯罪的，依法追究刑事责任：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（一）指使、纵容他人作弊，或者在考试、考察、体检过程中参与作弊的；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（二）在保密期限内，泄露考试试题、面试评分要素等应当保密的信息的；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（三）擅自更改考试评分标准或者不按评分标准进行评卷的；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（四）监管不严，导致考场出现大面积作弊现象的；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（五）玩忽职守，造成不良影响的；</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（六）其他严重违纪违规行为。</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第四章  处理程序</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 xml:space="preserve">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对应聘人员违纪违规行为作出处理决定的，应当制作公开招聘违纪违规行为处理决定书，依法送达被处理的应聘人员。</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第二十条 应聘人员对处理决定不服的，可以依法申请行政复议或者提起行政诉讼。</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第二十一条 参与公开招聘的工作人员对因违纪违规行为受到处分不服的，可以依法申请复核或者提出申诉。</w:t>
      </w:r>
    </w:p>
    <w:p>
      <w:pPr>
        <w:shd w:val="solid" w:color="FFFFFF" w:fill="auto"/>
        <w:autoSpaceDN w:val="0"/>
        <w:spacing w:before="312" w:beforeLines="100" w:after="312" w:afterLines="100" w:line="594" w:lineRule="exact"/>
        <w:jc w:val="center"/>
        <w:rPr>
          <w:rFonts w:ascii="黑体" w:hAnsi="仿宋" w:eastAsia="黑体"/>
          <w:bCs/>
          <w:color w:val="000000"/>
          <w:sz w:val="32"/>
          <w:szCs w:val="32"/>
        </w:rPr>
      </w:pPr>
      <w:r>
        <w:rPr>
          <w:rFonts w:hint="eastAsia" w:ascii="黑体" w:hAnsi="仿宋" w:eastAsia="黑体"/>
          <w:bCs/>
          <w:color w:val="000000"/>
          <w:sz w:val="32"/>
          <w:szCs w:val="32"/>
        </w:rPr>
        <w:t xml:space="preserve">第五章  附 则 </w:t>
      </w:r>
    </w:p>
    <w:p>
      <w:pPr>
        <w:spacing w:line="594" w:lineRule="exact"/>
        <w:ind w:firstLine="640"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第二十二条 本规定自2018年1月1日起施行。</w:t>
      </w:r>
    </w:p>
    <w:p>
      <w:pPr>
        <w:spacing w:line="520" w:lineRule="exact"/>
        <w:rPr>
          <w:rFonts w:hint="eastAsia"/>
          <w:szCs w:val="28"/>
        </w:rPr>
      </w:pPr>
    </w:p>
    <w:p/>
    <w:sectPr>
      <w:headerReference r:id="rId3" w:type="default"/>
      <w:footerReference r:id="rId4" w:type="default"/>
      <w:pgSz w:w="11906" w:h="16838"/>
      <w:pgMar w:top="1440" w:right="1286"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New Century Schoolbook">
    <w:altName w:val="Segoe Print"/>
    <w:panose1 w:val="02040603050505020303"/>
    <w:charset w:val="00"/>
    <w:family w:val="roman"/>
    <w:pitch w:val="default"/>
    <w:sig w:usb0="00000000" w:usb1="00000000" w:usb2="00000000" w:usb3="00000000" w:csb0="00000093" w:csb1="00000000"/>
  </w:font>
  <w:font w:name="??">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1281" w:wrap="around" w:vAnchor="text" w:hAnchor="margin" w:xAlign="outside" w:y="7"/>
      <w:ind w:firstLine="280" w:firstLineChars="100"/>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4</w:t>
    </w:r>
    <w:r>
      <w:rPr>
        <w:sz w:val="28"/>
        <w:szCs w:val="28"/>
      </w:rPr>
      <w:fldChar w:fldCharType="end"/>
    </w:r>
    <w:r>
      <w:rPr>
        <w:rStyle w:val="12"/>
        <w:rFonts w:hint="eastAsia"/>
        <w:sz w:val="28"/>
        <w:szCs w:val="28"/>
      </w:rPr>
      <w:t>－</w:t>
    </w:r>
  </w:p>
  <w:p>
    <w:pPr>
      <w:pStyle w:val="6"/>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B3F06"/>
    <w:rsid w:val="3E3A6F8A"/>
    <w:rsid w:val="65F52581"/>
    <w:rsid w:val="71BB3F06"/>
    <w:rsid w:val="7DD4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Cambria"/>
      <w:b/>
      <w:bCs/>
      <w:sz w:val="32"/>
      <w:szCs w:val="32"/>
    </w:rPr>
  </w:style>
  <w:style w:type="paragraph" w:styleId="4">
    <w:name w:val="heading 3"/>
    <w:basedOn w:val="1"/>
    <w:next w:val="1"/>
    <w:qFormat/>
    <w:uiPriority w:val="0"/>
    <w:pPr>
      <w:keepNext/>
      <w:keepLines/>
      <w:spacing w:before="260" w:after="260" w:line="416" w:lineRule="auto"/>
      <w:outlineLvl w:val="2"/>
    </w:pPr>
    <w:rPr>
      <w:rFonts w:eastAsia="宋体"/>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oc 3"/>
    <w:basedOn w:val="1"/>
    <w:next w:val="1"/>
    <w:semiHidden/>
    <w:uiPriority w:val="0"/>
    <w:pPr>
      <w:ind w:left="420"/>
      <w:jc w:val="left"/>
    </w:pPr>
    <w:rPr>
      <w:rFonts w:eastAsia="宋体"/>
      <w:i/>
      <w:iCs/>
      <w:sz w:val="2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basedOn w:val="10"/>
    <w:uiPriority w:val="0"/>
    <w:rPr>
      <w:color w:val="0000FF"/>
      <w:u w:val="single"/>
    </w:rPr>
  </w:style>
  <w:style w:type="paragraph" w:customStyle="1" w:styleId="14">
    <w:name w:val="标题4"/>
    <w:basedOn w:val="4"/>
    <w:qFormat/>
    <w:uiPriority w:val="0"/>
    <w:pPr>
      <w:ind w:firstLine="630" w:firstLineChars="196"/>
    </w:pPr>
    <w:rPr>
      <w:rFonts w:ascii="黑体" w:hAnsi="黑体" w:eastAsia="黑体" w:cs="黑体"/>
    </w:rPr>
  </w:style>
  <w:style w:type="paragraph" w:customStyle="1" w:styleId="15">
    <w:name w:val="p0"/>
    <w:basedOn w:val="1"/>
    <w:qFormat/>
    <w:uiPriority w:val="0"/>
    <w:pPr>
      <w:widowControl/>
      <w:spacing w:before="100" w:beforeAutospacing="1" w:after="100" w:afterAutospacing="1"/>
      <w:jc w:val="left"/>
    </w:pPr>
    <w:rPr>
      <w:rFonts w:eastAsia="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2022-03-11T01:07:00Z</dcterms:created>
  <dc:creator>Administrator</dc:creator>
  <cp:lastModifiedBy>Administrator</cp:lastModifiedBy>
  <dcterms:modified xsi:type="dcterms:W3CDTF">2022-03-11T01:59:41Z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D28586CE351C4457856B6A4E627C653D</vt:lpwstr>
  </property>
</Properties>
</file>