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bCs/>
          <w:sz w:val="24"/>
          <w:shd w:val="clear" w:color="auto" w:fill="FFFFFF"/>
        </w:rPr>
      </w:pPr>
      <w:r>
        <w:rPr>
          <w:rFonts w:hint="eastAsia" w:ascii="黑体" w:hAnsi="黑体" w:eastAsia="黑体" w:cs="黑体"/>
          <w:bCs/>
          <w:sz w:val="24"/>
          <w:shd w:val="clear" w:color="auto" w:fill="FFFFFF"/>
        </w:rPr>
        <w:t>附件3：</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fldChar w:fldCharType="begin"/>
      </w:r>
      <w:r>
        <w:rPr>
          <w:rFonts w:hint="eastAsia" w:ascii="方正小标宋简体" w:hAnsi="方正小标宋简体" w:eastAsia="方正小标宋简体" w:cs="方正小标宋简体"/>
          <w:bCs/>
          <w:sz w:val="30"/>
          <w:szCs w:val="30"/>
          <w:shd w:val="clear" w:color="auto" w:fill="FFFFFF"/>
        </w:rPr>
        <w:instrText xml:space="preserve"> HYPERLINK "http://rsj.changzhou.gov.cn/uploadfile/czrsj/2021/0617/20210617091945_83993.docx" \t "http://rsj.changzhou.gov.cn/html/czrsj/2021/IQCNPLQO_0617/_blank" </w:instrText>
      </w:r>
      <w:r>
        <w:rPr>
          <w:rFonts w:hint="eastAsia" w:ascii="方正小标宋简体" w:hAnsi="方正小标宋简体" w:eastAsia="方正小标宋简体" w:cs="方正小标宋简体"/>
          <w:bCs/>
          <w:sz w:val="30"/>
          <w:szCs w:val="30"/>
          <w:shd w:val="clear" w:color="auto" w:fill="FFFFFF"/>
        </w:rPr>
        <w:fldChar w:fldCharType="separate"/>
      </w:r>
      <w:r>
        <w:rPr>
          <w:rFonts w:hint="eastAsia" w:ascii="方正小标宋简体" w:hAnsi="方正小标宋简体" w:eastAsia="方正小标宋简体" w:cs="方正小标宋简体"/>
          <w:bCs/>
          <w:sz w:val="30"/>
          <w:szCs w:val="30"/>
          <w:shd w:val="clear" w:color="auto" w:fill="FFFFFF"/>
        </w:rPr>
        <w:t>202</w:t>
      </w:r>
      <w:r>
        <w:rPr>
          <w:rFonts w:ascii="方正小标宋简体" w:hAnsi="方正小标宋简体" w:eastAsia="方正小标宋简体" w:cs="方正小标宋简体"/>
          <w:bCs/>
          <w:sz w:val="30"/>
          <w:szCs w:val="30"/>
          <w:shd w:val="clear" w:color="auto" w:fill="FFFFFF"/>
        </w:rPr>
        <w:t>2</w:t>
      </w:r>
      <w:r>
        <w:rPr>
          <w:rFonts w:hint="eastAsia" w:ascii="方正小标宋简体" w:hAnsi="方正小标宋简体" w:eastAsia="方正小标宋简体" w:cs="方正小标宋简体"/>
          <w:bCs/>
          <w:sz w:val="30"/>
          <w:szCs w:val="30"/>
          <w:shd w:val="clear" w:color="auto" w:fill="FFFFFF"/>
        </w:rPr>
        <w:t>年溧阳市教育系统公开招聘高层次教育人才</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t>新冠疫情防控告知暨承诺书</w:t>
      </w:r>
      <w:r>
        <w:rPr>
          <w:rFonts w:hint="eastAsia" w:ascii="方正小标宋简体" w:hAnsi="方正小标宋简体" w:eastAsia="方正小标宋简体" w:cs="方正小标宋简体"/>
          <w:bCs/>
          <w:sz w:val="30"/>
          <w:szCs w:val="30"/>
          <w:shd w:val="clear" w:color="auto" w:fill="FFFFFF"/>
        </w:rPr>
        <w:fldChar w:fldCharType="end"/>
      </w:r>
    </w:p>
    <w:p>
      <w:pPr>
        <w:spacing w:line="440" w:lineRule="exact"/>
        <w:ind w:firstLine="600" w:firstLineChars="200"/>
        <w:rPr>
          <w:rFonts w:ascii="仿宋_GB2312" w:hAnsi="仿宋_GB2312" w:eastAsia="仿宋_GB2312" w:cs="仿宋_GB2312"/>
          <w:bCs/>
          <w:color w:val="000000"/>
          <w:sz w:val="30"/>
          <w:szCs w:val="30"/>
          <w:shd w:val="clear" w:color="auto" w:fill="FFFFFF"/>
        </w:rPr>
      </w:pPr>
    </w:p>
    <w:p>
      <w:pPr>
        <w:spacing w:line="44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为确保2022年溧阳市教育系统公开招聘高层次教育人才资格审核、面试工作安全顺利进行，现将新冠肺炎疫情防控有关措施和要求告知如下，请所有考生知悉、理解、配合和支持。</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考生应按疫情防控有关要求做好个人防护和健康管理，</w:t>
      </w:r>
      <w:r>
        <w:rPr>
          <w:rFonts w:hint="eastAsia" w:ascii="仿宋_GB2312" w:hAnsi="仿宋_GB2312" w:eastAsia="仿宋_GB2312" w:cs="仿宋_GB2312"/>
          <w:b/>
          <w:color w:val="000000"/>
          <w:sz w:val="28"/>
          <w:szCs w:val="28"/>
          <w:shd w:val="clear" w:color="auto" w:fill="FFFFFF"/>
        </w:rPr>
        <w:t>提前14天申领“苏康码”</w:t>
      </w:r>
      <w:r>
        <w:rPr>
          <w:rFonts w:hint="eastAsia" w:ascii="仿宋_GB2312" w:hAnsi="仿宋_GB2312" w:eastAsia="仿宋_GB2312" w:cs="仿宋_GB2312"/>
          <w:bCs/>
          <w:color w:val="000000"/>
          <w:sz w:val="28"/>
          <w:szCs w:val="28"/>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等卫生防护。如出现发热、干咳等急性呼吸道异常症状应及时就医，以免影响正常参加招聘测试。</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根据疫情防控最新要求，所有参加资格复审、面试的考生，</w:t>
      </w:r>
      <w:r>
        <w:rPr>
          <w:rFonts w:hint="eastAsia" w:ascii="仿宋_GB2312" w:hAnsi="仿宋_GB2312" w:eastAsia="仿宋_GB2312" w:cs="仿宋_GB2312"/>
          <w:b/>
          <w:color w:val="000000"/>
          <w:sz w:val="28"/>
          <w:szCs w:val="28"/>
          <w:shd w:val="clear" w:color="auto" w:fill="FFFFFF"/>
        </w:rPr>
        <w:t>均须提供资格复审、面试前48小时内（以采集样本时间为准）核酸阴性证明（纸质）方可入场参加资格复审、面试。</w:t>
      </w:r>
      <w:r>
        <w:rPr>
          <w:rFonts w:hint="eastAsia" w:ascii="仿宋_GB2312" w:hAnsi="仿宋_GB2312" w:eastAsia="仿宋_GB2312" w:cs="仿宋_GB2312"/>
          <w:bCs/>
          <w:color w:val="000000"/>
          <w:sz w:val="28"/>
          <w:szCs w:val="28"/>
          <w:shd w:val="clear" w:color="auto" w:fill="FFFFFF"/>
        </w:rPr>
        <w:t>中高风险地区所在城市的低风险地区的、病例报告城市与病例（无症状感染者）无轨迹交叉的到溧阳的考生，如进入溧阳达72小时的，需提供2次（间隔24小时以上）核酸检测阴性报告。</w:t>
      </w:r>
    </w:p>
    <w:p>
      <w:pPr>
        <w:spacing w:line="44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资格复审、面试当天入场时，考生应提前准备好本人有效期内身份证原件、准考证并出示“苏康码”、“通信大数据行程卡”、资格复审、面试前48小时内核酸阴性证明。持有本人资格复审、面试前48小时内核酸阴性证明、“苏康码”和“通信大数据行程卡”为绿码、现场测量体温＜37.3℃且无干咳等可疑症状的考生，方可入场参加资格复审、面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44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kern w:val="0"/>
          <w:sz w:val="28"/>
          <w:szCs w:val="28"/>
        </w:rPr>
        <w:t>四、入境满56天或离开国内疫情中高风险地区满21天的考生，考试当天除须持有本人开考前48小时内核酸阴性证明、本人“苏康码”、“通信大数据行程卡”为绿码、现场测量体温＜37.3℃且无干咳等可疑症状外，</w:t>
      </w:r>
      <w:r>
        <w:rPr>
          <w:rFonts w:hint="eastAsia" w:ascii="仿宋_GB2312" w:hAnsi="仿宋_GB2312" w:eastAsia="仿宋_GB2312" w:cs="仿宋_GB2312"/>
          <w:b/>
          <w:bCs/>
          <w:color w:val="000000"/>
          <w:kern w:val="0"/>
          <w:sz w:val="28"/>
          <w:szCs w:val="28"/>
        </w:rPr>
        <w:t>还须提供集中隔离期满解除证明。</w:t>
      </w:r>
    </w:p>
    <w:p>
      <w:pPr>
        <w:numPr>
          <w:ilvl w:val="0"/>
          <w:numId w:val="2"/>
        </w:numPr>
        <w:spacing w:line="44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有下列情形之一的，应主动报告并配合相应疫情防控安排，不得参加现场报名：</w:t>
      </w:r>
    </w:p>
    <w:p>
      <w:pPr>
        <w:numPr>
          <w:ilvl w:val="0"/>
          <w:numId w:val="3"/>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不能出示本人资格复审、面试前48小时内核酸阴性证明、不能出示本人当日“苏康码”和“通信大数据行程卡”绿码的。</w:t>
      </w:r>
    </w:p>
    <w:p>
      <w:pPr>
        <w:numPr>
          <w:ilvl w:val="0"/>
          <w:numId w:val="3"/>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仍在隔离治疗观察期的新冠肺炎确诊病例、疑似病例、无症状感染者以及隔离观察期未满的密切接触者和次密切接触者。</w:t>
      </w:r>
    </w:p>
    <w:p>
      <w:pPr>
        <w:numPr>
          <w:ilvl w:val="0"/>
          <w:numId w:val="3"/>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入境未满56天或离开国内疫情中高风险地区未满21天的考生；或虽已满集中隔离期及健康管理期的，但不能全部提供集中隔离期满解除证明及新冠病毒核酸检测阴性证明的。</w:t>
      </w:r>
    </w:p>
    <w:p>
      <w:pPr>
        <w:numPr>
          <w:ilvl w:val="0"/>
          <w:numId w:val="3"/>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试过程中，考生出现发热或干咳等可疑症状，应主动向考务工作人员报告，配合医务人员进行体温复测和排查流行病学史，并配合转移到隔离考场参加考试，考试结束后应服从安排至发热门诊就医、配合做好核酸检测。考生因发热等异常情况需要接受体温复测、排查流行病学史或需要转移到隔离考场而耽误的考试时间不予弥补。</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考生参加资格审核和面试前应仔细阅读资格复审、面试相关规定、防疫要求，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请考生持续关注新冠肺炎疫情动态和江苏省、溧阳市疫情防控最新要求，考前如有新的调整和新的要求，将另行告知。</w:t>
      </w: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承诺人（签名）：        </w:t>
      </w:r>
      <w:r>
        <w:rPr>
          <w:rFonts w:ascii="仿宋_GB2312" w:hAnsi="仿宋_GB2312" w:eastAsia="仿宋_GB2312" w:cs="仿宋_GB2312"/>
          <w:bCs/>
          <w:sz w:val="28"/>
          <w:szCs w:val="28"/>
          <w:shd w:val="clear" w:color="auto" w:fill="FFFFFF"/>
        </w:rPr>
        <w:t xml:space="preserve">  </w:t>
      </w:r>
      <w:r>
        <w:rPr>
          <w:rFonts w:hint="eastAsia" w:ascii="仿宋_GB2312" w:hAnsi="仿宋_GB2312" w:eastAsia="仿宋_GB2312" w:cs="仿宋_GB2312"/>
          <w:bCs/>
          <w:sz w:val="28"/>
          <w:szCs w:val="28"/>
          <w:shd w:val="clear" w:color="auto" w:fill="FFFFFF"/>
        </w:rPr>
        <w:t xml:space="preserve">  承诺人公民身份号码：</w:t>
      </w:r>
    </w:p>
    <w:p>
      <w:pPr>
        <w:spacing w:line="440" w:lineRule="exact"/>
        <w:ind w:firstLine="2520" w:firstLineChars="9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年     月     日</w:t>
      </w:r>
    </w:p>
    <w:p>
      <w:pPr>
        <w:spacing w:line="440" w:lineRule="exact"/>
        <w:ind w:firstLine="560" w:firstLineChars="200"/>
        <w:jc w:val="left"/>
        <w:rPr>
          <w:rFonts w:hint="eastAsia" w:ascii="Times New Roman" w:hAnsi="Times New Roman" w:eastAsia="仿宋_GB2312" w:cs="Times New Roman"/>
          <w:kern w:val="0"/>
          <w:sz w:val="28"/>
          <w:szCs w:val="28"/>
        </w:rPr>
      </w:pPr>
    </w:p>
    <w:p>
      <w:bookmarkStart w:id="0" w:name="_GoBack"/>
      <w:bookmarkEnd w:id="0"/>
    </w:p>
    <w:sectPr>
      <w:headerReference r:id="rId3" w:type="default"/>
      <w:pgSz w:w="11906" w:h="16838"/>
      <w:pgMar w:top="907" w:right="1418" w:bottom="62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黑体_GB2312">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E70DC"/>
    <w:multiLevelType w:val="singleLevel"/>
    <w:tmpl w:val="84DE70DC"/>
    <w:lvl w:ilvl="0" w:tentative="0">
      <w:start w:val="5"/>
      <w:numFmt w:val="chineseCounting"/>
      <w:suff w:val="nothing"/>
      <w:lvlText w:val="%1、"/>
      <w:lvlJc w:val="left"/>
      <w:rPr>
        <w:rFonts w:hint="eastAsia"/>
      </w:rPr>
    </w:lvl>
  </w:abstractNum>
  <w:abstractNum w:abstractNumId="1">
    <w:nsid w:val="8BE5E1C5"/>
    <w:multiLevelType w:val="singleLevel"/>
    <w:tmpl w:val="8BE5E1C5"/>
    <w:lvl w:ilvl="0" w:tentative="0">
      <w:start w:val="1"/>
      <w:numFmt w:val="decimal"/>
      <w:suff w:val="space"/>
      <w:lvlText w:val="%1."/>
      <w:lvlJc w:val="left"/>
    </w:lvl>
  </w:abstractNum>
  <w:abstractNum w:abstractNumId="2">
    <w:nsid w:val="DCD09073"/>
    <w:multiLevelType w:val="singleLevel"/>
    <w:tmpl w:val="DCD09073"/>
    <w:lvl w:ilvl="0" w:tentative="0">
      <w:start w:val="1"/>
      <w:numFmt w:val="chineseCounting"/>
      <w:suff w:val="nothing"/>
      <w:lvlText w:val="%1、"/>
      <w:lvlJc w:val="left"/>
      <w:pPr>
        <w:ind w:left="7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715DA"/>
    <w:rsid w:val="63F058C6"/>
    <w:rsid w:val="6E8715DA"/>
    <w:rsid w:val="73F5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2022-01-29T01:24:00Z</dcterms:created>
  <dc:creator>Administrator</dc:creator>
  <cp:lastModifiedBy>Administrator</cp:lastModifiedBy>
  <dcterms:modified xsi:type="dcterms:W3CDTF">2022-01-29T02:05:50Z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2F5F7409977445878D596D5147EEF8B8</vt:lpwstr>
  </property>
</Properties>
</file>