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widowControl/>
        <w:spacing w:line="660" w:lineRule="exact"/>
        <w:rPr>
          <w:rFonts w:hint="eastAsia" w:ascii="黑体" w:hAnsi="黑体" w:eastAsia="黑体" w:cs="黑体"/>
          <w:spacing w:val="-17"/>
          <w:sz w:val="44"/>
          <w:szCs w:val="44"/>
        </w:rPr>
      </w:pPr>
    </w:p>
    <w:p>
      <w:pPr>
        <w:widowControl/>
        <w:spacing w:line="660" w:lineRule="exact"/>
        <w:rPr>
          <w:rFonts w:hint="eastAsia" w:ascii="黑体" w:hAnsi="黑体" w:eastAsia="黑体" w:cs="黑体"/>
          <w:spacing w:val="-17"/>
          <w:sz w:val="44"/>
          <w:szCs w:val="44"/>
        </w:rPr>
      </w:pPr>
      <w:r>
        <w:rPr>
          <w:rFonts w:hint="eastAsia" w:ascii="黑体" w:hAnsi="黑体" w:eastAsia="黑体" w:cs="黑体"/>
          <w:spacing w:val="-17"/>
          <w:sz w:val="44"/>
          <w:szCs w:val="44"/>
        </w:rPr>
        <w:t>安溪县教育系统招聘高层次学历教师奖励办法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7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65"/>
        <w:gridCol w:w="1246"/>
        <w:gridCol w:w="1386"/>
        <w:gridCol w:w="1062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博士研究生学历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“双一流”高校硕士研究生学历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教育部六大师范院校本科学历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普通高校硕士研究生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安家补贴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50万元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30万元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12万元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10万元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经考核合格，分三年予以兑现，第一年40%，第二年30%、第三年30%。普通高校硕士研究生分5年予以兑现。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住房补贴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1500元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1200元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1000元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800元/月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按月发放，享受两年。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职称补贴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高级教师</w:t>
            </w: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（专技七级）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一级教师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（专技八级）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一级教师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（专技九级）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一级教师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仿宋_GB2312" w:eastAsia="仿宋_GB2312"/>
                <w:spacing w:val="-20"/>
                <w:w w:val="95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85"/>
                <w:sz w:val="24"/>
              </w:rPr>
              <w:t>（专技十级）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应聘两年后，经考核合格，给予对应职称资金补贴，享受两年。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02D37248"/>
    <w:rsid w:val="17CC0A24"/>
    <w:rsid w:val="2D904D39"/>
    <w:rsid w:val="32214927"/>
    <w:rsid w:val="58D93FC0"/>
    <w:rsid w:val="63864E7E"/>
    <w:rsid w:val="6A624B6D"/>
    <w:rsid w:val="6FA042B4"/>
    <w:rsid w:val="72D66E4E"/>
    <w:rsid w:val="7EA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red"/>
    <w:basedOn w:val="8"/>
    <w:uiPriority w:val="0"/>
    <w:rPr>
      <w:bdr w:val="none" w:color="auto" w:sz="0" w:space="0"/>
    </w:rPr>
  </w:style>
  <w:style w:type="character" w:customStyle="1" w:styleId="19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