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21" w:tblpY="2808"/>
        <w:tblOverlap w:val="never"/>
        <w:tblW w:w="149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17"/>
        <w:gridCol w:w="1885"/>
        <w:gridCol w:w="1296"/>
        <w:gridCol w:w="10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招聘计划数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市直属义务教育学校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中小学语文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中国语言文学类、学科教学（语文）、教育（学科教学语文）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本科：中国语言文学类、小学教育（语文）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中小学数学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研究生：数学类、学科教学（数学）、教育（学科教学数学）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本科：数学类、小学教育（数学）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中小学英语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研究生：英语语言文学专业、英语笔译、英语口译、学科教学（英语）、教育（学科教学英语）、外国语言文学（英语方向）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本科：英语专业、小学教育（英语）、外国语言文学（英语方向）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中小学科学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研究生：物理学类、化学类、生物学类、教育（学科教学物理）、教育（学科教学化学）、教育（学科教学生物）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本科：科学教育专业、物理学类、化学类、生物科学类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中小学社会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中国史、世界史、学科教学（历史）、地理学类、学科教学（地理）、马克思主义理论类、政治学类、马克思主义哲学、中国哲学、外国哲学、法学理论、教育（学科教学政治）、教育（学科教学历史）、教育（学科教学地理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本科：历史学、世界史、地理科学类、马克思主义理论类、政治学类、哲学、法学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中小学信息技术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研究生：计算机科学与技术类、教育技术学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本科：计算机类、教育技术学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中小学心理健康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研究生：心理学、基础心理学、发展与教育心理学、应用心理学、心理健康教育、应用心理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本科：心理学类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市直属公办幼儿园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研究生：学前教育</w:t>
            </w:r>
            <w:r>
              <w:rPr>
                <w:rFonts w:hint="eastAsia" w:ascii="仿宋" w:hAnsi="仿宋" w:eastAsia="仿宋" w:cs="宋体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kern w:val="2"/>
                <w:sz w:val="18"/>
                <w:szCs w:val="18"/>
                <w:lang w:val="en-US" w:eastAsia="zh-CN" w:bidi="ar"/>
              </w:rPr>
              <w:t>本科：学前教育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 xml:space="preserve">         53名</w:t>
            </w:r>
          </w:p>
        </w:tc>
      </w:tr>
    </w:tbl>
    <w:p>
      <w:pPr>
        <w:ind w:right="718" w:rightChars="342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附件1：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  2021年下半年舟山市教育局直属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和公办幼儿园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公开招聘教师计划表</w:t>
      </w: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213D1F"/>
    <w:rsid w:val="0775694A"/>
    <w:rsid w:val="180364CD"/>
    <w:rsid w:val="18897BC2"/>
    <w:rsid w:val="2C33655B"/>
    <w:rsid w:val="33386E9B"/>
    <w:rsid w:val="3D2A3F9C"/>
    <w:rsid w:val="418F5BBB"/>
    <w:rsid w:val="434B46ED"/>
    <w:rsid w:val="4E572FD5"/>
    <w:rsid w:val="53F443BB"/>
    <w:rsid w:val="55F70739"/>
    <w:rsid w:val="580701FB"/>
    <w:rsid w:val="5DEA08EA"/>
    <w:rsid w:val="687C4F9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