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360" w:lineRule="auto"/>
        <w:rPr>
          <w:rFonts w:hint="eastAsia" w:ascii="黑体" w:hAnsi="黑体" w:eastAsia="黑体" w:cs="Times New Roman"/>
          <w:kern w:val="2"/>
          <w:sz w:val="28"/>
          <w:szCs w:val="28"/>
          <w:lang w:eastAsia="zh-CN"/>
        </w:rPr>
      </w:pPr>
      <w:r>
        <w:rPr>
          <w:rFonts w:hint="eastAsia" w:ascii="黑体" w:hAnsi="黑体" w:eastAsia="黑体" w:cs="Times New Roman"/>
          <w:kern w:val="2"/>
          <w:sz w:val="28"/>
          <w:szCs w:val="28"/>
        </w:rPr>
        <w:t>附件</w:t>
      </w:r>
      <w:r>
        <w:rPr>
          <w:rFonts w:hint="eastAsia" w:ascii="黑体" w:hAnsi="黑体" w:eastAsia="黑体" w:cs="Times New Roman"/>
          <w:kern w:val="2"/>
          <w:sz w:val="28"/>
          <w:szCs w:val="28"/>
          <w:lang w:val="en-US" w:eastAsia="zh-CN"/>
        </w:rPr>
        <w:t>3</w:t>
      </w:r>
    </w:p>
    <w:p>
      <w:pPr>
        <w:pStyle w:val="6"/>
        <w:spacing w:before="0" w:beforeAutospacing="0" w:after="0" w:afterAutospacing="0" w:line="360" w:lineRule="auto"/>
        <w:jc w:val="center"/>
        <w:rPr>
          <w:rFonts w:hint="eastAsia" w:ascii="黑体" w:hAnsi="黑体" w:eastAsia="黑体" w:cs="Times New Roman"/>
          <w:kern w:val="2"/>
          <w:sz w:val="52"/>
          <w:szCs w:val="52"/>
        </w:rPr>
      </w:pPr>
      <w:r>
        <w:rPr>
          <w:rFonts w:hint="eastAsia" w:ascii="黑体" w:hAnsi="黑体" w:eastAsia="黑体" w:cs="Times New Roman"/>
          <w:kern w:val="2"/>
          <w:sz w:val="52"/>
          <w:szCs w:val="52"/>
        </w:rPr>
        <w:t>资格</w:t>
      </w:r>
      <w:r>
        <w:rPr>
          <w:rFonts w:hint="eastAsia" w:ascii="黑体" w:hAnsi="黑体" w:eastAsia="黑体" w:cs="Times New Roman"/>
          <w:kern w:val="2"/>
          <w:sz w:val="52"/>
          <w:szCs w:val="52"/>
          <w:lang w:val="en-US" w:eastAsia="zh-CN"/>
        </w:rPr>
        <w:t>审核</w:t>
      </w:r>
      <w:r>
        <w:rPr>
          <w:rFonts w:hint="eastAsia" w:ascii="黑体" w:hAnsi="黑体" w:eastAsia="黑体" w:cs="Times New Roman"/>
          <w:kern w:val="2"/>
          <w:sz w:val="52"/>
          <w:szCs w:val="52"/>
        </w:rPr>
        <w:t>材料清单</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报名表（</w:t>
      </w:r>
      <w:r>
        <w:rPr>
          <w:rFonts w:hint="eastAsia" w:ascii="仿宋_GB2312" w:hAnsi="仿宋_GB2312" w:eastAsia="仿宋_GB2312" w:cs="仿宋_GB2312"/>
          <w:color w:val="auto"/>
          <w:sz w:val="32"/>
          <w:szCs w:val="32"/>
          <w:highlight w:val="none"/>
          <w:lang w:val="en-US" w:eastAsia="zh-CN"/>
        </w:rPr>
        <w:t>必须是系统下载的，</w:t>
      </w:r>
      <w:r>
        <w:rPr>
          <w:rFonts w:hint="eastAsia" w:ascii="仿宋_GB2312" w:hAnsi="仿宋" w:eastAsia="仿宋_GB2312"/>
          <w:b/>
          <w:bCs/>
          <w:color w:val="auto"/>
          <w:sz w:val="32"/>
          <w:szCs w:val="32"/>
          <w:highlight w:val="none"/>
          <w:lang w:val="en-US" w:eastAsia="zh-CN"/>
        </w:rPr>
        <w:t>仅需现场审核时提供</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附照片</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需签字按手印</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身份证；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毕业生推荐表（函）（加盖学校“毕业生分配办公室”或“学生就业指导中心”或“学生处”公章，研究生的推荐表加盖“研究生院〈处〉”的公章亦可）、院系推荐意见（推荐表中已有的不需再提供）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如提供不了推荐表的考生，须提供院系推荐意见</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成绩单（需有院系加盖公章）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以</w:t>
      </w:r>
      <w:r>
        <w:rPr>
          <w:rFonts w:hint="eastAsia" w:ascii="仿宋_GB2312" w:hAnsi="仿宋_GB2312" w:eastAsia="仿宋_GB2312" w:cs="仿宋_GB2312"/>
          <w:color w:val="auto"/>
          <w:sz w:val="32"/>
          <w:szCs w:val="32"/>
          <w:highlight w:val="none"/>
        </w:rPr>
        <w:t>研究生</w:t>
      </w:r>
      <w:r>
        <w:rPr>
          <w:rFonts w:hint="eastAsia" w:ascii="仿宋_GB2312" w:hAnsi="仿宋_GB2312" w:eastAsia="仿宋_GB2312" w:cs="仿宋_GB2312"/>
          <w:color w:val="auto"/>
          <w:sz w:val="32"/>
          <w:szCs w:val="32"/>
          <w:highlight w:val="none"/>
          <w:lang w:val="en-US" w:eastAsia="zh-CN"/>
        </w:rPr>
        <w:t>身份报考的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val="0"/>
          <w:i w:val="0"/>
          <w:caps w:val="0"/>
          <w:color w:val="000000"/>
          <w:spacing w:val="0"/>
          <w:sz w:val="30"/>
          <w:szCs w:val="30"/>
          <w:shd w:val="clear" w:color="auto" w:fill="FFFFFF"/>
        </w:rPr>
        <w:t>还须提供</w:t>
      </w:r>
      <w:r>
        <w:rPr>
          <w:rFonts w:hint="eastAsia" w:ascii="仿宋_GB2312" w:hAnsi="仿宋_GB2312" w:eastAsia="仿宋_GB2312" w:cs="仿宋_GB2312"/>
          <w:color w:val="auto"/>
          <w:sz w:val="32"/>
          <w:szCs w:val="32"/>
          <w:highlight w:val="none"/>
        </w:rPr>
        <w:t>本科成绩单（</w:t>
      </w:r>
      <w:r>
        <w:rPr>
          <w:rFonts w:hint="eastAsia" w:ascii="仿宋_GB2312" w:hAnsi="仿宋_GB2312" w:eastAsia="仿宋_GB2312" w:cs="仿宋_GB2312"/>
          <w:color w:val="auto"/>
          <w:sz w:val="32"/>
          <w:szCs w:val="32"/>
          <w:highlight w:val="none"/>
          <w:lang w:val="en-US" w:eastAsia="zh-CN"/>
        </w:rPr>
        <w:t>与</w:t>
      </w:r>
      <w:r>
        <w:rPr>
          <w:rFonts w:hint="eastAsia" w:ascii="仿宋_GB2312" w:hAnsi="仿宋_GB2312" w:eastAsia="仿宋_GB2312" w:cs="仿宋_GB2312"/>
          <w:color w:val="auto"/>
          <w:sz w:val="32"/>
          <w:szCs w:val="32"/>
          <w:highlight w:val="none"/>
        </w:rPr>
        <w:t>就读大学档案室</w:t>
      </w:r>
      <w:r>
        <w:rPr>
          <w:rFonts w:hint="eastAsia" w:ascii="仿宋_GB2312" w:hAnsi="仿宋_GB2312" w:eastAsia="仿宋_GB2312" w:cs="仿宋_GB2312"/>
          <w:color w:val="auto"/>
          <w:sz w:val="32"/>
          <w:szCs w:val="32"/>
          <w:highlight w:val="none"/>
          <w:lang w:val="en-US" w:eastAsia="zh-CN"/>
        </w:rPr>
        <w:t>档案成绩一致</w:t>
      </w:r>
      <w:r>
        <w:rPr>
          <w:rFonts w:hint="eastAsia" w:ascii="仿宋_GB2312" w:hAnsi="仿宋_GB2312" w:eastAsia="仿宋_GB2312" w:cs="仿宋_GB2312"/>
          <w:color w:val="auto"/>
          <w:sz w:val="32"/>
          <w:szCs w:val="32"/>
          <w:highlight w:val="none"/>
        </w:rPr>
        <w:t>，加盖相应印章）</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教师资格证书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承诺书</w:t>
      </w:r>
      <w:r>
        <w:rPr>
          <w:rFonts w:hint="eastAsia" w:ascii="仿宋_GB2312" w:hAnsi="仿宋_GB2312" w:eastAsia="仿宋_GB2312" w:cs="仿宋_GB2312"/>
          <w:color w:val="auto"/>
          <w:sz w:val="32"/>
          <w:szCs w:val="32"/>
          <w:highlight w:val="none"/>
        </w:rPr>
        <w:t>（附件</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6.学历学位证。以</w:t>
      </w:r>
      <w:r>
        <w:rPr>
          <w:rFonts w:hint="eastAsia" w:ascii="仿宋_GB2312" w:hAnsi="仿宋_GB2312" w:eastAsia="仿宋_GB2312" w:cs="仿宋_GB2312"/>
          <w:color w:val="auto"/>
          <w:sz w:val="32"/>
          <w:szCs w:val="32"/>
          <w:highlight w:val="none"/>
        </w:rPr>
        <w:t>研究生</w:t>
      </w:r>
      <w:r>
        <w:rPr>
          <w:rFonts w:hint="eastAsia" w:ascii="仿宋_GB2312" w:hAnsi="仿宋_GB2312" w:eastAsia="仿宋_GB2312" w:cs="仿宋_GB2312"/>
          <w:color w:val="auto"/>
          <w:sz w:val="32"/>
          <w:szCs w:val="32"/>
          <w:highlight w:val="none"/>
          <w:lang w:val="en-US" w:eastAsia="zh-CN"/>
        </w:rPr>
        <w:t>身份报考的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val="0"/>
          <w:i w:val="0"/>
          <w:caps w:val="0"/>
          <w:color w:val="000000"/>
          <w:spacing w:val="0"/>
          <w:sz w:val="30"/>
          <w:szCs w:val="30"/>
          <w:shd w:val="clear" w:color="auto" w:fill="FFFFFF"/>
        </w:rPr>
        <w:t>还须提供</w:t>
      </w:r>
      <w:r>
        <w:rPr>
          <w:rFonts w:hint="eastAsia" w:ascii="仿宋_GB2312" w:hAnsi="仿宋_GB2312" w:eastAsia="仿宋_GB2312" w:cs="仿宋_GB2312"/>
          <w:color w:val="auto"/>
          <w:sz w:val="32"/>
          <w:szCs w:val="32"/>
          <w:highlight w:val="none"/>
        </w:rPr>
        <w:t>本科学历、学位证书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本科生在办理聘用手续时提供本科学历、学位证；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7.学籍验证报告（本科和研究生阶段均要提供）</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个人相关荣誉证书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作品等证明资料</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岗位条件要求的其他详细证明材料</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 w:eastAsia="仿宋_GB2312"/>
          <w:b w:val="0"/>
          <w:bCs w:val="0"/>
          <w:color w:val="auto"/>
          <w:sz w:val="32"/>
          <w:szCs w:val="32"/>
          <w:highlight w:val="none"/>
          <w:lang w:val="en-US" w:eastAsia="zh-CN"/>
        </w:rPr>
      </w:pPr>
      <w:r>
        <w:rPr>
          <w:rFonts w:hint="eastAsia" w:ascii="仿宋_GB2312" w:hAnsi="仿宋" w:eastAsia="仿宋_GB2312"/>
          <w:b w:val="0"/>
          <w:bCs w:val="0"/>
          <w:color w:val="auto"/>
          <w:sz w:val="32"/>
          <w:szCs w:val="32"/>
          <w:highlight w:val="none"/>
          <w:lang w:val="en-US" w:eastAsia="zh-CN"/>
        </w:rPr>
        <w:t>10.</w:t>
      </w:r>
      <w:r>
        <w:rPr>
          <w:rFonts w:hint="eastAsia" w:ascii="仿宋_GB2312" w:hAnsi="仿宋" w:eastAsia="仿宋_GB2312"/>
          <w:b w:val="0"/>
          <w:bCs w:val="0"/>
          <w:color w:val="auto"/>
          <w:sz w:val="32"/>
          <w:szCs w:val="32"/>
          <w:highlight w:val="none"/>
        </w:rPr>
        <w:t>有下列情形的，均须按要求提供相应材料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 w:eastAsia="仿宋_GB2312" w:cs="Times New Roman"/>
          <w:color w:val="auto"/>
          <w:sz w:val="32"/>
          <w:szCs w:val="32"/>
          <w:highlight w:val="none"/>
          <w:lang w:eastAsia="zh-CN"/>
        </w:rPr>
      </w:pPr>
      <w:r>
        <w:rPr>
          <w:rFonts w:hint="eastAsia" w:ascii="仿宋_GB2312" w:hAnsi="仿宋" w:eastAsia="仿宋_GB2312" w:cs="Times New Roman"/>
          <w:color w:val="auto"/>
          <w:sz w:val="32"/>
          <w:szCs w:val="32"/>
          <w:highlight w:val="none"/>
          <w:lang w:eastAsia="zh-CN"/>
        </w:rPr>
        <w:t>（</w:t>
      </w:r>
      <w:r>
        <w:rPr>
          <w:rFonts w:hint="eastAsia" w:ascii="仿宋_GB2312" w:hAnsi="仿宋" w:eastAsia="仿宋_GB2312" w:cs="Times New Roman"/>
          <w:color w:val="auto"/>
          <w:sz w:val="32"/>
          <w:szCs w:val="32"/>
          <w:highlight w:val="none"/>
          <w:lang w:val="en-US" w:eastAsia="zh-CN"/>
        </w:rPr>
        <w:t>1</w:t>
      </w:r>
      <w:r>
        <w:rPr>
          <w:rFonts w:hint="eastAsia" w:ascii="仿宋_GB2312" w:hAnsi="仿宋" w:eastAsia="仿宋_GB2312" w:cs="Times New Roman"/>
          <w:color w:val="auto"/>
          <w:sz w:val="32"/>
          <w:szCs w:val="32"/>
          <w:highlight w:val="none"/>
          <w:lang w:eastAsia="zh-CN"/>
        </w:rPr>
        <w:t>）</w:t>
      </w:r>
      <w:r>
        <w:rPr>
          <w:rFonts w:hint="eastAsia" w:ascii="仿宋_GB2312" w:hAnsi="仿宋" w:eastAsia="仿宋_GB2312" w:cs="Times New Roman"/>
          <w:color w:val="auto"/>
          <w:sz w:val="32"/>
          <w:szCs w:val="32"/>
          <w:highlight w:val="none"/>
        </w:rPr>
        <w:t>港澳台应届毕业生及留学归国人员资格审查时</w:t>
      </w:r>
      <w:r>
        <w:rPr>
          <w:rFonts w:hint="eastAsia" w:ascii="仿宋_GB2312" w:hAnsi="仿宋" w:eastAsia="仿宋_GB2312" w:cs="Times New Roman"/>
          <w:color w:val="auto"/>
          <w:sz w:val="32"/>
          <w:szCs w:val="32"/>
          <w:highlight w:val="none"/>
          <w:lang w:eastAsia="zh-CN"/>
        </w:rPr>
        <w:t>，</w:t>
      </w:r>
      <w:r>
        <w:rPr>
          <w:rFonts w:hint="eastAsia" w:ascii="仿宋_GB2312" w:hAnsi="仿宋" w:eastAsia="仿宋_GB2312" w:cs="Times New Roman"/>
          <w:color w:val="auto"/>
          <w:sz w:val="32"/>
          <w:szCs w:val="32"/>
          <w:highlight w:val="none"/>
          <w:lang w:val="en-US" w:eastAsia="zh-CN"/>
        </w:rPr>
        <w:t>须</w:t>
      </w:r>
      <w:r>
        <w:rPr>
          <w:rFonts w:hint="eastAsia" w:ascii="仿宋_GB2312" w:hAnsi="仿宋" w:eastAsia="仿宋_GB2312" w:cs="Times New Roman"/>
          <w:color w:val="auto"/>
          <w:sz w:val="32"/>
          <w:szCs w:val="32"/>
          <w:highlight w:val="none"/>
        </w:rPr>
        <w:t>提供国家教育部留学服务中心出具的《学历学位认证书》。尚未取得《学历学位认证书》的，可提供深圳市外国专家局出具的《出国留学人员资格临时证明》</w:t>
      </w:r>
      <w:r>
        <w:rPr>
          <w:rFonts w:hint="eastAsia" w:ascii="仿宋_GB2312" w:hAnsi="仿宋" w:eastAsia="仿宋_GB2312" w:cs="Times New Roman"/>
          <w:color w:val="auto"/>
          <w:sz w:val="32"/>
          <w:szCs w:val="32"/>
          <w:highlight w:val="none"/>
          <w:lang w:eastAsia="zh-CN"/>
        </w:rPr>
        <w:t>；</w:t>
      </w:r>
      <w:r>
        <w:rPr>
          <w:rFonts w:hint="eastAsia" w:ascii="仿宋_GB2312" w:hAnsi="仿宋" w:eastAsia="仿宋_GB2312" w:cs="Times New Roman"/>
          <w:color w:val="auto"/>
          <w:sz w:val="32"/>
          <w:szCs w:val="32"/>
          <w:highlight w:val="none"/>
        </w:rPr>
        <w:t>未毕业的，须提供就读院校开具的在读及毕业时间的证明和我国驻外使领馆确认书；所有港澳台应届毕业生及留学归国人员通过考试、考察和体检后，必须凭《学历学位认证书》办理聘用手续</w:t>
      </w:r>
      <w:r>
        <w:rPr>
          <w:rFonts w:hint="eastAsia" w:ascii="仿宋_GB2312" w:hAnsi="仿宋" w:eastAsia="仿宋_GB2312" w:cs="Times New Roman"/>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2</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国内院校与国外院校联合办学的，按国内院校毕业生报考，资格审查时须提供国内院校出具的相应证明。属国内院校与国外院校联合办学取得国外学位的，</w:t>
      </w:r>
      <w:r>
        <w:rPr>
          <w:rFonts w:hint="eastAsia" w:ascii="仿宋_GB2312" w:hAnsi="仿宋" w:eastAsia="仿宋_GB2312"/>
          <w:color w:val="auto"/>
          <w:sz w:val="32"/>
          <w:szCs w:val="32"/>
          <w:highlight w:val="none"/>
          <w:lang w:val="en-US" w:eastAsia="zh-CN"/>
        </w:rPr>
        <w:t>在</w:t>
      </w:r>
      <w:r>
        <w:rPr>
          <w:rFonts w:hint="eastAsia" w:ascii="仿宋_GB2312" w:hAnsi="仿宋" w:eastAsia="仿宋_GB2312"/>
          <w:color w:val="auto"/>
          <w:sz w:val="32"/>
          <w:szCs w:val="32"/>
          <w:highlight w:val="none"/>
        </w:rPr>
        <w:t>办理聘用手续时</w:t>
      </w:r>
      <w:r>
        <w:rPr>
          <w:rFonts w:hint="eastAsia" w:ascii="仿宋_GB2312" w:hAnsi="仿宋" w:eastAsia="仿宋_GB2312"/>
          <w:color w:val="auto"/>
          <w:sz w:val="32"/>
          <w:szCs w:val="32"/>
          <w:highlight w:val="none"/>
          <w:lang w:val="en-US" w:eastAsia="zh-CN"/>
        </w:rPr>
        <w:t>须</w:t>
      </w:r>
      <w:r>
        <w:rPr>
          <w:rFonts w:hint="eastAsia" w:ascii="仿宋_GB2312" w:hAnsi="仿宋" w:eastAsia="仿宋_GB2312"/>
          <w:color w:val="auto"/>
          <w:sz w:val="32"/>
          <w:szCs w:val="32"/>
          <w:highlight w:val="none"/>
        </w:rPr>
        <w:t>提供国家教育部留学服务中心出具的《联合办学学历学位评估意见书》</w:t>
      </w:r>
      <w:r>
        <w:rPr>
          <w:rFonts w:hint="eastAsia" w:ascii="仿宋_GB2312" w:hAnsi="仿宋" w:eastAsia="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3</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军队院校地方班毕业生报考的，</w:t>
      </w:r>
      <w:r>
        <w:rPr>
          <w:rFonts w:hint="eastAsia" w:ascii="仿宋_GB2312" w:hAnsi="仿宋" w:eastAsia="仿宋_GB2312"/>
          <w:color w:val="auto"/>
          <w:sz w:val="32"/>
          <w:szCs w:val="32"/>
          <w:highlight w:val="none"/>
          <w:lang w:val="en-US" w:eastAsia="zh-CN"/>
        </w:rPr>
        <w:t>须</w:t>
      </w:r>
      <w:r>
        <w:rPr>
          <w:rFonts w:hint="eastAsia" w:ascii="仿宋_GB2312" w:hAnsi="仿宋" w:eastAsia="仿宋_GB2312"/>
          <w:color w:val="auto"/>
          <w:sz w:val="32"/>
          <w:szCs w:val="32"/>
          <w:highlight w:val="none"/>
        </w:rPr>
        <w:t>提供就读院校出具的地方生证明。</w:t>
      </w:r>
    </w:p>
    <w:p>
      <w:pPr>
        <w:keepNext w:val="0"/>
        <w:keepLines w:val="0"/>
        <w:pageBreakBefore w:val="0"/>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11.防疫承诺书（</w:t>
      </w:r>
      <w:r>
        <w:rPr>
          <w:rFonts w:hint="eastAsia" w:ascii="仿宋_GB2312" w:hAnsi="仿宋" w:eastAsia="仿宋_GB2312"/>
          <w:b/>
          <w:bCs/>
          <w:color w:val="auto"/>
          <w:sz w:val="32"/>
          <w:szCs w:val="32"/>
          <w:highlight w:val="none"/>
          <w:lang w:val="en-US" w:eastAsia="zh-CN"/>
        </w:rPr>
        <w:t>仅需现场审核时提供</w:t>
      </w:r>
      <w:r>
        <w:rPr>
          <w:rFonts w:hint="eastAsia" w:ascii="仿宋_GB2312" w:hAnsi="仿宋" w:eastAsia="仿宋_GB2312"/>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val="en-US" w:eastAsia="zh-CN"/>
        </w:rPr>
        <w:t>12.三方协议（</w:t>
      </w:r>
      <w:r>
        <w:rPr>
          <w:rFonts w:hint="eastAsia" w:ascii="仿宋_GB2312" w:hAnsi="仿宋" w:eastAsia="仿宋_GB2312"/>
          <w:b/>
          <w:bCs/>
          <w:color w:val="auto"/>
          <w:sz w:val="32"/>
          <w:szCs w:val="32"/>
          <w:highlight w:val="none"/>
          <w:lang w:val="en-US" w:eastAsia="zh-CN"/>
        </w:rPr>
        <w:t>仅需现场审核时提供，</w:t>
      </w:r>
      <w:r>
        <w:rPr>
          <w:rFonts w:hint="eastAsia" w:ascii="仿宋_GB2312" w:hAnsi="仿宋" w:eastAsia="仿宋_GB2312"/>
          <w:color w:val="auto"/>
          <w:sz w:val="32"/>
          <w:szCs w:val="32"/>
          <w:highlight w:val="none"/>
          <w:lang w:val="en-US" w:eastAsia="zh-CN"/>
        </w:rPr>
        <w:t>没有三方协议的，须提供院校出具的未发放三方协议说明，网签提供网签界面截图</w:t>
      </w:r>
      <w:r>
        <w:rPr>
          <w:rFonts w:hint="eastAsia" w:ascii="仿宋_GB2312" w:hAnsi="仿宋" w:eastAsia="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20" w:lineRule="exact"/>
        <w:ind w:right="0" w:rightChars="0" w:firstLine="640" w:firstLineChars="200"/>
        <w:textAlignment w:val="auto"/>
        <w:outlineLvl w:val="9"/>
        <w:rPr>
          <w:rFonts w:hint="default" w:ascii="Calibri" w:hAnsi="Calibri" w:eastAsia="黑体" w:cs="Calibri"/>
          <w:sz w:val="28"/>
          <w:szCs w:val="28"/>
          <w:lang w:val="en-US" w:eastAsia="zh-CN"/>
        </w:rPr>
      </w:pPr>
      <w:r>
        <w:rPr>
          <w:rFonts w:hint="eastAsia" w:ascii="仿宋_GB2312" w:hAnsi="仿宋" w:eastAsia="仿宋_GB2312"/>
          <w:color w:val="auto"/>
          <w:sz w:val="32"/>
          <w:szCs w:val="32"/>
          <w:highlight w:val="none"/>
          <w:lang w:val="en-US" w:eastAsia="zh-CN"/>
        </w:rPr>
        <w:t>13、个人简历</w:t>
      </w:r>
      <w:r>
        <w:rPr>
          <w:rFonts w:hint="eastAsia" w:ascii="仿宋_GB2312" w:hAnsi="仿宋" w:eastAsia="仿宋_GB2312"/>
          <w:b/>
          <w:bCs/>
          <w:color w:val="auto"/>
          <w:sz w:val="32"/>
          <w:szCs w:val="32"/>
          <w:highlight w:val="none"/>
          <w:lang w:val="en-US" w:eastAsia="zh-CN"/>
        </w:rPr>
        <w:t>（仅需现场审核时提供）</w:t>
      </w:r>
      <w:r>
        <w:rPr>
          <w:rFonts w:hint="eastAsia" w:ascii="仿宋_GB2312" w:hAnsi="仿宋" w:eastAsia="仿宋_GB2312"/>
          <w:color w:val="auto"/>
          <w:sz w:val="32"/>
          <w:szCs w:val="32"/>
          <w:highlight w:val="none"/>
          <w:lang w:val="en-US" w:eastAsia="zh-CN"/>
        </w:rPr>
        <w:t>。</w:t>
      </w:r>
    </w:p>
    <w:p>
      <w:pPr>
        <w:numPr>
          <w:ilvl w:val="0"/>
          <w:numId w:val="0"/>
        </w:numPr>
        <w:jc w:val="left"/>
        <w:rPr>
          <w:rFonts w:hint="eastAsia" w:ascii="Calibri" w:hAnsi="Calibri" w:eastAsia="黑体" w:cs="Calibri"/>
          <w:b/>
          <w:bCs/>
          <w:sz w:val="28"/>
          <w:szCs w:val="28"/>
          <w:lang w:val="en-US" w:eastAsia="zh-CN"/>
        </w:rPr>
      </w:pPr>
    </w:p>
    <w:p>
      <w:pPr>
        <w:numPr>
          <w:ilvl w:val="0"/>
          <w:numId w:val="0"/>
        </w:numPr>
        <w:jc w:val="left"/>
        <w:rPr>
          <w:rFonts w:hint="eastAsia" w:ascii="仿宋_GB2312" w:hAnsi="仿宋" w:eastAsia="仿宋_GB2312"/>
          <w:color w:val="auto"/>
          <w:sz w:val="32"/>
          <w:szCs w:val="32"/>
          <w:highlight w:val="none"/>
          <w:lang w:val="en-US" w:eastAsia="zh-CN"/>
        </w:rPr>
      </w:pPr>
      <w:r>
        <w:rPr>
          <w:rFonts w:hint="eastAsia" w:ascii="Calibri" w:hAnsi="Calibri" w:eastAsia="黑体" w:cs="Calibri"/>
          <w:b/>
          <w:bCs/>
          <w:sz w:val="28"/>
          <w:szCs w:val="28"/>
          <w:lang w:val="en-US" w:eastAsia="zh-CN"/>
        </w:rPr>
        <w:t>注意</w:t>
      </w:r>
      <w:r>
        <w:rPr>
          <w:rFonts w:hint="eastAsia" w:ascii="Calibri" w:hAnsi="Calibri" w:eastAsia="黑体" w:cs="Calibri"/>
          <w:sz w:val="28"/>
          <w:szCs w:val="28"/>
          <w:lang w:val="en-US" w:eastAsia="zh-CN"/>
        </w:rPr>
        <w:t xml:space="preserve">： </w:t>
      </w:r>
      <w:r>
        <w:rPr>
          <w:rFonts w:hint="eastAsia" w:ascii="仿宋_GB2312" w:hAnsi="仿宋" w:eastAsia="仿宋_GB2312"/>
          <w:color w:val="auto"/>
          <w:sz w:val="32"/>
          <w:szCs w:val="32"/>
          <w:highlight w:val="none"/>
          <w:lang w:val="en-US" w:eastAsia="zh-CN"/>
        </w:rPr>
        <w:t>1.</w:t>
      </w:r>
      <w:r>
        <w:rPr>
          <w:rFonts w:hint="eastAsia" w:ascii="仿宋_GB2312" w:hAnsi="仿宋" w:eastAsia="仿宋_GB2312"/>
          <w:color w:val="auto"/>
          <w:sz w:val="32"/>
          <w:szCs w:val="32"/>
          <w:highlight w:val="none"/>
        </w:rPr>
        <w:t>材料审</w:t>
      </w:r>
      <w:r>
        <w:rPr>
          <w:rFonts w:hint="eastAsia" w:ascii="仿宋_GB2312" w:hAnsi="仿宋" w:eastAsia="仿宋_GB2312"/>
          <w:color w:val="auto"/>
          <w:sz w:val="32"/>
          <w:szCs w:val="32"/>
          <w:highlight w:val="none"/>
          <w:lang w:val="en-US" w:eastAsia="zh-CN"/>
        </w:rPr>
        <w:t>核</w:t>
      </w:r>
      <w:r>
        <w:rPr>
          <w:rFonts w:hint="eastAsia" w:ascii="仿宋_GB2312" w:hAnsi="仿宋" w:eastAsia="仿宋_GB2312"/>
          <w:color w:val="auto"/>
          <w:sz w:val="32"/>
          <w:szCs w:val="32"/>
          <w:highlight w:val="none"/>
        </w:rPr>
        <w:t>时验原件收复印件</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第1项和第13项</w:t>
      </w:r>
    </w:p>
    <w:p>
      <w:pPr>
        <w:numPr>
          <w:ilvl w:val="0"/>
          <w:numId w:val="0"/>
        </w:numPr>
        <w:ind w:firstLine="1600" w:firstLineChars="500"/>
        <w:jc w:val="left"/>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val="en-US" w:eastAsia="zh-CN"/>
        </w:rPr>
        <w:t>一式5份，第2—11项，一式2份</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20" w:lineRule="exact"/>
        <w:ind w:right="0" w:rightChars="0" w:firstLine="960" w:firstLineChars="300"/>
        <w:textAlignment w:val="auto"/>
        <w:outlineLvl w:val="9"/>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2.资料审核时请按清单顺序装订复印件。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960" w:firstLineChars="300"/>
        <w:jc w:val="both"/>
        <w:textAlignment w:val="auto"/>
        <w:outlineLvl w:val="9"/>
        <w:rPr>
          <w:rFonts w:hint="default"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3.所有</w:t>
      </w:r>
      <w:r>
        <w:rPr>
          <w:rFonts w:hint="eastAsia" w:ascii="仿宋_GB2312" w:hAnsi="仿宋" w:eastAsia="仿宋_GB2312"/>
          <w:b/>
          <w:bCs/>
          <w:color w:val="auto"/>
          <w:sz w:val="32"/>
          <w:szCs w:val="32"/>
          <w:highlight w:val="none"/>
          <w:lang w:val="en-US" w:eastAsia="zh-CN"/>
        </w:rPr>
        <w:t>本人签字</w:t>
      </w:r>
      <w:r>
        <w:rPr>
          <w:rFonts w:hint="eastAsia" w:ascii="仿宋_GB2312" w:hAnsi="仿宋" w:eastAsia="仿宋_GB2312"/>
          <w:color w:val="auto"/>
          <w:sz w:val="32"/>
          <w:szCs w:val="32"/>
          <w:highlight w:val="none"/>
          <w:lang w:val="en-US" w:eastAsia="zh-CN"/>
        </w:rPr>
        <w:t>位置必须为</w:t>
      </w:r>
      <w:r>
        <w:rPr>
          <w:rFonts w:hint="eastAsia" w:ascii="仿宋_GB2312" w:hAnsi="仿宋" w:eastAsia="仿宋_GB2312"/>
          <w:b/>
          <w:bCs/>
          <w:color w:val="auto"/>
          <w:sz w:val="32"/>
          <w:szCs w:val="32"/>
          <w:highlight w:val="none"/>
          <w:lang w:val="en-US" w:eastAsia="zh-CN"/>
        </w:rPr>
        <w:t>手写并按手印</w:t>
      </w:r>
      <w:r>
        <w:rPr>
          <w:rFonts w:hint="eastAsia" w:ascii="仿宋_GB2312" w:hAnsi="仿宋" w:eastAsia="仿宋_GB2312"/>
          <w:color w:val="auto"/>
          <w:sz w:val="32"/>
          <w:szCs w:val="32"/>
          <w:highlight w:val="none"/>
          <w:lang w:val="en-US" w:eastAsia="zh-CN"/>
        </w:rPr>
        <w:t>。</w:t>
      </w:r>
    </w:p>
    <w:p>
      <w:bookmarkStart w:id="0" w:name="_GoBack"/>
      <w:bookmarkEnd w:id="0"/>
    </w:p>
    <w:sectPr>
      <w:headerReference r:id="rId3" w:type="default"/>
      <w:footerReference r:id="rId4" w:type="even"/>
      <w:pgSz w:w="11906" w:h="16838"/>
      <w:pgMar w:top="1091" w:right="1418" w:bottom="93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寰蒋闆呴粦">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新宋体">
    <w:panose1 w:val="02010609030101010101"/>
    <w:charset w:val="86"/>
    <w:family w:val="auto"/>
    <w:pitch w:val="default"/>
    <w:sig w:usb0="00000283" w:usb1="288F0000" w:usb2="00000006" w:usb3="00000000" w:csb0="00040001" w:csb1="00000000"/>
  </w:font>
  <w:font w:name="Verdana">
    <w:panose1 w:val="020B0604030504040204"/>
    <w:charset w:val="00"/>
    <w:family w:val="auto"/>
    <w:pitch w:val="default"/>
    <w:sig w:usb0="A00006FF" w:usb1="4000205B" w:usb2="0000001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0000000000000000000"/>
    <w:charset w:val="00"/>
    <w:family w:val="auto"/>
    <w:pitch w:val="default"/>
    <w:sig w:usb0="00000000" w:usb1="00000000" w:usb2="00000000" w:usb3="00000000" w:csb0="00000000" w:csb1="00000000"/>
  </w:font>
  <w:font w:name="SourceHanSansC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im">
    <w:altName w:val="Segoe Print"/>
    <w:panose1 w:val="00000000000000000000"/>
    <w:charset w:val="00"/>
    <w:family w:val="auto"/>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B6983"/>
    <w:multiLevelType w:val="singleLevel"/>
    <w:tmpl w:val="5F9B698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B5172"/>
    <w:rsid w:val="097674C0"/>
    <w:rsid w:val="0F097374"/>
    <w:rsid w:val="2C2B5172"/>
    <w:rsid w:val="3B105516"/>
    <w:rsid w:val="6316022F"/>
    <w:rsid w:val="77CE4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uiPriority w:val="0"/>
    <w:pPr>
      <w:spacing w:after="120" w:afterLines="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uiPriority w:val="0"/>
    <w:rPr>
      <w:color w:val="000000"/>
      <w:u w:val="none"/>
    </w:rPr>
  </w:style>
  <w:style w:type="character" w:styleId="12">
    <w:name w:val="HTML Definition"/>
    <w:basedOn w:val="8"/>
    <w:uiPriority w:val="0"/>
  </w:style>
  <w:style w:type="character" w:styleId="13">
    <w:name w:val="HTML Typewriter"/>
    <w:basedOn w:val="8"/>
    <w:uiPriority w:val="0"/>
    <w:rPr>
      <w:rFonts w:hint="default" w:ascii="monospace" w:hAnsi="monospace" w:eastAsia="monospace" w:cs="monospace"/>
      <w:sz w:val="20"/>
    </w:rPr>
  </w:style>
  <w:style w:type="character" w:styleId="14">
    <w:name w:val="HTML Acronym"/>
    <w:basedOn w:val="8"/>
    <w:uiPriority w:val="0"/>
    <w:rPr>
      <w:bdr w:val="none" w:color="auto" w:sz="0" w:space="0"/>
    </w:rPr>
  </w:style>
  <w:style w:type="character" w:styleId="15">
    <w:name w:val="HTML Variable"/>
    <w:basedOn w:val="8"/>
    <w:uiPriority w:val="0"/>
  </w:style>
  <w:style w:type="character" w:styleId="16">
    <w:name w:val="Hyperlink"/>
    <w:basedOn w:val="8"/>
    <w:uiPriority w:val="0"/>
    <w:rPr>
      <w:color w:val="000000"/>
      <w:u w:val="none"/>
    </w:rPr>
  </w:style>
  <w:style w:type="character" w:styleId="17">
    <w:name w:val="HTML Code"/>
    <w:basedOn w:val="8"/>
    <w:uiPriority w:val="0"/>
    <w:rPr>
      <w:rFonts w:hint="default" w:ascii="monospace" w:hAnsi="monospace" w:eastAsia="monospace" w:cs="monospace"/>
      <w:sz w:val="20"/>
      <w:bdr w:val="none" w:color="auto" w:sz="0" w:space="0"/>
    </w:rPr>
  </w:style>
  <w:style w:type="character" w:styleId="18">
    <w:name w:val="HTML Cite"/>
    <w:basedOn w:val="8"/>
    <w:uiPriority w:val="0"/>
  </w:style>
  <w:style w:type="character" w:styleId="19">
    <w:name w:val="HTML Keyboard"/>
    <w:basedOn w:val="8"/>
    <w:uiPriority w:val="0"/>
    <w:rPr>
      <w:rFonts w:ascii="monospace" w:hAnsi="monospace" w:eastAsia="monospace" w:cs="monospace"/>
      <w:sz w:val="20"/>
    </w:rPr>
  </w:style>
  <w:style w:type="character" w:styleId="20">
    <w:name w:val="HTML Sample"/>
    <w:basedOn w:val="8"/>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2021-12-06T01:10:00Z</dcterms:created>
  <dc:creator>Administrator</dc:creator>
  <cp:lastModifiedBy>Administrator</cp:lastModifiedBy>
  <dcterms:modified xsi:type="dcterms:W3CDTF">2021-12-06T03:16:28Z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