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遵义市教育事业单位面向全国公开招聘教师专业要求</w:t>
      </w:r>
    </w:p>
    <w:p>
      <w:pPr>
        <w:spacing w:line="34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根据《普通高等学校本科专业目录新旧专业对照表》（2012版）、《普通高等学校本科专业目录》（2020年版）、</w:t>
      </w:r>
      <w:r>
        <w:rPr>
          <w:rFonts w:hint="eastAsia" w:ascii="仿宋_GB2312" w:hAnsi="仿宋" w:eastAsia="仿宋_GB2312"/>
          <w:bCs/>
          <w:sz w:val="24"/>
          <w:szCs w:val="24"/>
        </w:rPr>
        <w:t>《研究生招生学科、专业代码册》(2018)</w:t>
      </w:r>
      <w:r>
        <w:rPr>
          <w:rFonts w:hint="eastAsia" w:ascii="仿宋_GB2312" w:hAnsi="宋体" w:eastAsia="仿宋_GB2312"/>
          <w:sz w:val="24"/>
          <w:szCs w:val="24"/>
        </w:rPr>
        <w:t>，</w:t>
      </w:r>
      <w:r>
        <w:rPr>
          <w:rFonts w:hint="eastAsia" w:ascii="仿宋_GB2312" w:hAnsi="仿宋" w:eastAsia="仿宋_GB2312"/>
          <w:sz w:val="24"/>
          <w:szCs w:val="24"/>
        </w:rPr>
        <w:t>教育部《学位授予单位（不含军队单位）自主设置二级学科和交叉学科名单》（2020年6月30日），</w:t>
      </w:r>
      <w:r>
        <w:rPr>
          <w:rFonts w:hint="eastAsia" w:ascii="仿宋_GB2312" w:hAnsi="宋体" w:eastAsia="仿宋_GB2312"/>
          <w:sz w:val="24"/>
          <w:szCs w:val="24"/>
        </w:rPr>
        <w:t>经市教育局、市人力资源和社会保障局、各县、区（市）</w:t>
      </w:r>
      <w:r>
        <w:rPr>
          <w:rFonts w:hint="eastAsia" w:ascii="仿宋_GB2312" w:hAnsi="仿宋" w:eastAsia="仿宋_GB2312"/>
          <w:bCs/>
          <w:sz w:val="24"/>
          <w:szCs w:val="24"/>
        </w:rPr>
        <w:t>教</w:t>
      </w:r>
      <w:r>
        <w:rPr>
          <w:rFonts w:hint="eastAsia" w:ascii="仿宋_GB2312" w:hAnsi="仿宋" w:eastAsia="仿宋_GB2312"/>
          <w:bCs/>
          <w:sz w:val="24"/>
          <w:szCs w:val="24"/>
          <w:lang w:eastAsia="zh-CN"/>
        </w:rPr>
        <w:t>体</w:t>
      </w:r>
      <w:r>
        <w:rPr>
          <w:rFonts w:hint="eastAsia" w:ascii="仿宋_GB2312" w:hAnsi="仿宋" w:eastAsia="仿宋_GB2312"/>
          <w:bCs/>
          <w:sz w:val="24"/>
          <w:szCs w:val="24"/>
        </w:rPr>
        <w:t>局商定，2021年遵义市教育事业单位面向全国公开招聘教师专业要求如下：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一、语文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一级学科：中国语言文学(文艺学、语言学及应用语言学、汉语言文字学、中国古典文献学、中国古代文学、中国现当代文学、中国少数民族语言文学、比较文学与世界文学)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二级学科：学科教学（语文）、小学教育(限报小学语文)、汉语国际教育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本科二级学科：汉语言文学及相关专业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二、数学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一级学科：数学(基础数学、计算数学、概率论与数理统计、应用数学、运筹学与控制论)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二级学科：学科教学（数学）、小学教育(限报小学数学)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本科二级学科：数学与应用数学及相关专业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三、英语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二级学科：英语语言文学、外国语言学及应用语言学、学科教学（英语）、英语笔译、英语口译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本科二级学科：英语及相关专业</w:t>
      </w:r>
    </w:p>
    <w:p>
      <w:pPr>
        <w:spacing w:line="34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四、物理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一级学科：物理学(理论物理、粒子物理与原子核物理、原子与分子物理、等离子体物理、凝聚态物理、声学、光学、无线电物理)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二级学科：学科教学（物理）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本科二级学科：物理学及相关专业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五、化学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一级学科：化学(无机化学、分析化学、有机化学、物理化学、高分子化学与物理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二级学科：学科教学（化学）、应用化学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本科二级学科：化学及相关专业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六、生物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一级学科：生物学(植物学、动物学、生理学、水生生物学、微生物学、神经生物学、遗传学、发育生物学、细胞生物学、生物化学与分子生物学、生物物理学)、生态学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二级学科：学科教学（生物）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本科二级学科：生物科学及相关专业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七、地理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一级学科：地理学(自然地理学、人文地理学、地图学与地理信息系统)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二级学科：学科教学（地理）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本科二级学科：地理科学及相关专业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八、历史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一级学科：考古学、中国史、世界史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二级学科：学科教学（历史）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本科二级学科：历史学及相关专业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九、思想政治(道德与法治) 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马克思主义理论(马克思主义基本原理、马克思主义发展史、马克思主义中国化研究、国外马克思主义研究、思想政治教育、中国近现代史基本问题研究)、政治学(政治学理论、中外政治制度、科学社会主义与国际共产主义运动、中共党史、国际政治、国际关系、外交学)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二级学科：学科教学（思政）、小学教育(限报小学道德与法治)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本科二级学科：思想政治教育及相关专业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十、音乐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一级学科：艺术学理论、音乐与舞蹈学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二级学科：学科教学（音乐）、音乐、舞蹈、小学教育(限报小学音乐)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本科二级学科：音乐学及相关专业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十一、体育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一级学科：体育学(体育人文社会学、运动人体科学、体育教育训练学、民族传统体育学)、体育(体育教学、运动训练、竞赛组织、社会体育指导)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二级学科：学科教学（体育）、运动人体科学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本科二级学科：体育教育及相关专业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十二、美术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一级学科：</w:t>
      </w:r>
      <w:r>
        <w:rPr>
          <w:rFonts w:hint="eastAsia" w:ascii="仿宋_GB2312" w:hAnsi="宋体" w:eastAsia="仿宋_GB2312" w:cs="Arial"/>
          <w:sz w:val="24"/>
          <w:szCs w:val="24"/>
        </w:rPr>
        <w:t>艺术学理论、美术学、设计学</w:t>
      </w:r>
    </w:p>
    <w:p>
      <w:pPr>
        <w:spacing w:line="340" w:lineRule="exact"/>
        <w:ind w:firstLine="482" w:firstLineChars="200"/>
        <w:rPr>
          <w:rFonts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二级学科：</w:t>
      </w:r>
      <w:r>
        <w:rPr>
          <w:rFonts w:hint="eastAsia" w:ascii="仿宋_GB2312" w:hAnsi="仿宋" w:eastAsia="仿宋_GB2312"/>
          <w:sz w:val="24"/>
          <w:szCs w:val="24"/>
        </w:rPr>
        <w:t>学科教学（美术）、美术、艺术设计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本科二级学科：美术学及相关专业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十三、信息技术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一级学科：计算机科学与技术(计算机系统结构、计算机软件与理论、计算机应用技术)、计算机科学与技术(计算机系统结构、计算机软件与理论、计算机应用技术)</w:t>
      </w:r>
    </w:p>
    <w:p>
      <w:pPr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二级学科：</w:t>
      </w:r>
      <w:r>
        <w:rPr>
          <w:rFonts w:hint="eastAsia" w:ascii="仿宋_GB2312" w:hAnsi="宋体" w:eastAsia="仿宋_GB2312" w:cs="Arial"/>
          <w:sz w:val="24"/>
          <w:szCs w:val="24"/>
        </w:rPr>
        <w:t>教育技术学、现代教育技术、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宋体" w:eastAsia="仿宋_GB2312" w:cs="Arial"/>
          <w:sz w:val="24"/>
          <w:szCs w:val="24"/>
          <w:highlight w:val="yellow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本科二级学科：计算机科学与技术、</w:t>
      </w:r>
      <w:r>
        <w:rPr>
          <w:rFonts w:hint="eastAsia" w:ascii="仿宋_GB2312" w:hAnsi="宋体" w:eastAsia="仿宋_GB2312" w:cs="Arial"/>
          <w:sz w:val="24"/>
          <w:szCs w:val="24"/>
        </w:rPr>
        <w:t>教育技术学</w:t>
      </w:r>
      <w:r>
        <w:rPr>
          <w:rFonts w:hint="eastAsia" w:ascii="仿宋_GB2312" w:hAnsi="仿宋" w:eastAsia="仿宋_GB2312"/>
          <w:sz w:val="24"/>
          <w:szCs w:val="24"/>
        </w:rPr>
        <w:t>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十四、科学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一级学科：物理学、化学、生物学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二级学科：科学与技术教育、学科教学（物理）、学科教学（化学）、学科教学（生物）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取得小学、初中科学教师资格证；高中通用技术或综合实践活动教师资格证；物理、化学、生物教师资格证书。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科学教育(取得小学、初中科学教师资格证；高中通用技术或综合实践活动教师资格证；初中、高中物理、化学、生物教师资格证)。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物理学(取得小学、初中科学教师资格证；高中通用技术或综合实践活动教师资格证；初中、高中物理教师资格证)。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化学 (取得小学、初中科学教师资格证；高中通用技术或综合实践活动教师资格证；初中、高中化学教师资格证)。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生物科学(取得小学、初中科学教师资格证；高中通用技术或综合实践活动教师资格证；初中、高中生物教师资格证)。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十五、心理健康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一级学科：心理学(基础心理学、发展与教育心理学、应用心理学)、应用心理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二级学科：心理健康教育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本科二级学科：心理学及相关专业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十六、幼儿园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二级学科：学前教育学、学前教育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本科二级学科：学前教育及相关专业</w:t>
      </w:r>
    </w:p>
    <w:p>
      <w:pPr>
        <w:spacing w:line="340" w:lineRule="exact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十七、通用技术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一级学科：物理学(理论物理、粒子物理与原子核物理、原子与分子物理、等离子体物理、凝聚态物理、声学、光学、无线电物理)、计算机科学与技术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二级学科：学科教学（物理）、教育技术学、现代教育技术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本科二级学科：物理学及相关专业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十八、舞蹈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一级学科：音乐与舞蹈学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二级学科：舞蹈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舞蹈表演、舞蹈学、舞蹈编导及相关专业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十九、日语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二级学科：日语语言文学、外国语言学及应用语言学、日语笔译、日语口译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  <w:r>
        <w:rPr>
          <w:rFonts w:hint="eastAsia" w:ascii="仿宋_GB2312" w:hAnsi="仿宋" w:eastAsia="仿宋_GB2312"/>
          <w:sz w:val="24"/>
          <w:szCs w:val="24"/>
        </w:rPr>
        <w:t>本科：二级学科日语及相关专业。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二十、韩语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</w:t>
      </w:r>
      <w:r>
        <w:rPr>
          <w:rFonts w:hint="eastAsia" w:ascii="仿宋_GB2312" w:hAnsi="仿宋" w:eastAsia="仿宋_GB2312"/>
          <w:b/>
          <w:sz w:val="24"/>
          <w:szCs w:val="24"/>
        </w:rPr>
        <w:t>研究生：</w:t>
      </w:r>
      <w:r>
        <w:rPr>
          <w:rFonts w:hint="eastAsia" w:ascii="仿宋_GB2312" w:hAnsi="仿宋" w:eastAsia="仿宋_GB2312"/>
          <w:sz w:val="24"/>
          <w:szCs w:val="24"/>
        </w:rPr>
        <w:t>二级学科外国语言学及应用语言学（韩语方向）、朝鲜语笔译、朝鲜语口译专业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二十一、特殊教育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硕士研究生：特殊教育学、特殊教育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</w:p>
    <w:p>
      <w:pPr>
        <w:spacing w:line="3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本科二级学科：特殊教育及相关专业</w:t>
      </w: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二十二、不限任教学科指标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博士研究生：不限专业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硕士</w:t>
      </w:r>
      <w:r>
        <w:rPr>
          <w:rFonts w:hint="eastAsia" w:ascii="仿宋_GB2312" w:hAnsi="仿宋" w:eastAsia="仿宋_GB2312"/>
          <w:b/>
          <w:sz w:val="24"/>
          <w:szCs w:val="24"/>
        </w:rPr>
        <w:t>研究生、教育部直属师范大学2022年应届师范教育类本科毕业生：</w:t>
      </w:r>
      <w:r>
        <w:rPr>
          <w:rFonts w:hint="eastAsia" w:ascii="仿宋_GB2312" w:hAnsi="仿宋" w:eastAsia="仿宋_GB2312"/>
          <w:sz w:val="24"/>
          <w:szCs w:val="24"/>
        </w:rPr>
        <w:t>报考不限任教学科招标，毕业证上的专业须符合以上界定的相应任教学科专业要求，且必须是该岗位对应学段教学计划开设的学科。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b/>
          <w:bCs/>
          <w:sz w:val="24"/>
          <w:szCs w:val="24"/>
        </w:rPr>
      </w:pP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特别说明：</w:t>
      </w:r>
    </w:p>
    <w:p>
      <w:pPr>
        <w:spacing w:line="340" w:lineRule="exact"/>
        <w:ind w:firstLine="482" w:firstLineChars="200"/>
        <w:rPr>
          <w:rFonts w:hint="eastAsia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1、硕士研究生：</w:t>
      </w:r>
      <w:r>
        <w:rPr>
          <w:rFonts w:hint="eastAsia" w:ascii="仿宋_GB2312" w:hAnsi="仿宋" w:eastAsia="仿宋_GB2312"/>
          <w:sz w:val="24"/>
          <w:szCs w:val="24"/>
        </w:rPr>
        <w:t>特殊教育、特殊教育学，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教育部直属师范大学2022年应届师范教育类本科毕业生：</w:t>
      </w:r>
      <w:r>
        <w:rPr>
          <w:rFonts w:hint="eastAsia" w:ascii="仿宋_GB2312" w:hAnsi="仿宋" w:eastAsia="仿宋_GB2312"/>
          <w:sz w:val="24"/>
          <w:szCs w:val="24"/>
        </w:rPr>
        <w:t>特殊教育，可以报考具有随班就读特殊教育儿童的初中、小学。</w:t>
      </w:r>
    </w:p>
    <w:p>
      <w:pPr>
        <w:spacing w:line="340" w:lineRule="exact"/>
        <w:ind w:firstLine="482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2、中等职业学校其他专业课教师：</w:t>
      </w:r>
      <w:r>
        <w:rPr>
          <w:rFonts w:hint="eastAsia" w:ascii="仿宋_GB2312" w:hAnsi="仿宋" w:eastAsia="仿宋_GB2312"/>
          <w:sz w:val="24"/>
          <w:szCs w:val="24"/>
        </w:rPr>
        <w:t>中等职业技术学校其他专业课教师的专业要求，由各县、区(市)在职位需求表中自行确定。</w:t>
      </w:r>
    </w:p>
    <w:p>
      <w:pPr>
        <w:spacing w:line="34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　　3、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硕士研究生：</w:t>
      </w:r>
      <w:r>
        <w:rPr>
          <w:rFonts w:ascii="仿宋_GB2312" w:hAnsi="仿宋" w:eastAsia="仿宋_GB2312"/>
          <w:sz w:val="24"/>
          <w:szCs w:val="24"/>
        </w:rPr>
        <w:t>教育学原理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课程与教学论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教育史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比较教育学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高等教育学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成人教育学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职业技术教育学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教育法学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教育管理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职业技术教育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▲学校课程与教学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▲学生发展与教育</w:t>
      </w:r>
      <w:r>
        <w:rPr>
          <w:rFonts w:hint="eastAsia" w:ascii="仿宋_GB2312" w:hAnsi="仿宋" w:eastAsia="仿宋_GB2312"/>
          <w:sz w:val="24"/>
          <w:szCs w:val="24"/>
        </w:rPr>
        <w:t>、</w:t>
      </w:r>
      <w:r>
        <w:rPr>
          <w:rFonts w:ascii="仿宋_GB2312" w:hAnsi="仿宋" w:eastAsia="仿宋_GB2312"/>
          <w:sz w:val="24"/>
          <w:szCs w:val="24"/>
        </w:rPr>
        <w:t>▲教育领导与管理</w:t>
      </w:r>
      <w:r>
        <w:rPr>
          <w:rFonts w:hint="eastAsia" w:ascii="仿宋_GB2312" w:hAnsi="仿宋" w:eastAsia="仿宋_GB2312"/>
          <w:sz w:val="24"/>
          <w:szCs w:val="24"/>
        </w:rPr>
        <w:t>，以上专业报考学科以取得的教师资格证书或《中小学教师资格考试合格证明》的任教学科为准。</w:t>
      </w:r>
    </w:p>
    <w:p>
      <w:pPr>
        <w:spacing w:line="34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4、教育部《学位授予单位（不含军队单位）自主设置二级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</w:rPr>
        <w:t>学科和交叉学科名单》（2020年6月30日）一级学科包含的二级学科，按《研究生招生学科、专业代码册》同等对待。</w:t>
      </w:r>
    </w:p>
    <w:p>
      <w:pPr>
        <w:spacing w:line="340" w:lineRule="exact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40" w:lineRule="exact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40" w:lineRule="exact"/>
        <w:rPr>
          <w:rFonts w:hint="eastAsia" w:ascii="仿宋_GB2312" w:hAnsi="仿宋" w:eastAsia="仿宋_GB2312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11486EA4"/>
    <w:rsid w:val="1A9D540F"/>
    <w:rsid w:val="223F2178"/>
    <w:rsid w:val="30A301D3"/>
    <w:rsid w:val="38DC1051"/>
    <w:rsid w:val="3C6D1BA1"/>
    <w:rsid w:val="3D321A2A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000000"/>
      <w:u w:val="none"/>
    </w:rPr>
  </w:style>
  <w:style w:type="character" w:styleId="13">
    <w:name w:val="HTML Definition"/>
    <w:basedOn w:val="10"/>
    <w:uiPriority w:val="0"/>
  </w:style>
  <w:style w:type="character" w:styleId="14">
    <w:name w:val="HTML Variable"/>
    <w:basedOn w:val="10"/>
    <w:uiPriority w:val="0"/>
  </w:style>
  <w:style w:type="character" w:styleId="15">
    <w:name w:val="Hyperlink"/>
    <w:basedOn w:val="10"/>
    <w:uiPriority w:val="0"/>
    <w:rPr>
      <w:color w:val="000000"/>
      <w:u w:val="none"/>
    </w:rPr>
  </w:style>
  <w:style w:type="character" w:styleId="16">
    <w:name w:val="HTML Cod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10"/>
    <w:uiPriority w:val="0"/>
  </w:style>
  <w:style w:type="character" w:styleId="18">
    <w:name w:val="HTML Keyboard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0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irst-child"/>
    <w:basedOn w:val="10"/>
    <w:uiPriority w:val="0"/>
    <w:rPr>
      <w:bdr w:val="none" w:color="auto" w:sz="0" w:space="0"/>
    </w:rPr>
  </w:style>
  <w:style w:type="character" w:customStyle="1" w:styleId="22">
    <w:name w:val="layui-layer-tabnow"/>
    <w:basedOn w:val="10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