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附件3：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锦田</w:t>
      </w:r>
      <w:r>
        <w:rPr>
          <w:rFonts w:hint="eastAsia" w:ascii="仿宋" w:hAnsi="仿宋" w:eastAsia="仿宋" w:cs="仿宋"/>
          <w:sz w:val="30"/>
          <w:szCs w:val="30"/>
        </w:rPr>
        <w:t>教育集团2021年面向2022届应届毕业生赴外定点公开招聘常设岗位工作人员考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罗湖区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包括区属公办学校、教育集团自主招聘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招聘中，只报考一个岗位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且本人非定向委培生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2.本人保证报名所提交的材料真实有效，如有弄虚作假，本人自愿丧失聘用资格，承担由此造成的一切后果。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3.教师资格证。本人承诺于2023年8月31日前取得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相应学科和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招聘单位已明确告知：最终审核结果以罗湖区委组织部为准。如在考察、复审等环节发现本人专业不对口、材料有问题或有其它不符合罗湖区教育系统的招聘要求，本人愿放弃拟聘资格。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spacing w:line="360" w:lineRule="auto"/>
        <w:ind w:left="3950" w:leftChars="205" w:hanging="3520" w:hanging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2021年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3F3F69BE"/>
    <w:rsid w:val="41192137"/>
    <w:rsid w:val="5C8914AD"/>
    <w:rsid w:val="78E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