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auto"/>
          <w:szCs w:val="32"/>
          <w:lang w:eastAsia="zh-CN"/>
        </w:rPr>
      </w:pPr>
      <w:r>
        <w:rPr>
          <w:rFonts w:hint="eastAsia" w:ascii="方正黑体_GBK" w:eastAsia="方正黑体_GBK"/>
          <w:color w:val="auto"/>
          <w:szCs w:val="32"/>
        </w:rPr>
        <w:t>附件</w:t>
      </w:r>
      <w:r>
        <w:rPr>
          <w:rFonts w:hint="eastAsia" w:ascii="方正黑体_GBK" w:eastAsia="方正黑体_GBK"/>
          <w:color w:val="auto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="黑体" w:eastAsia="黑体"/>
          <w:color w:val="auto"/>
          <w:szCs w:val="32"/>
        </w:rPr>
      </w:pPr>
    </w:p>
    <w:p>
      <w:pPr>
        <w:spacing w:line="60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重庆市考试录用公务员专业参考目录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970"/>
        <w:gridCol w:w="3406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门类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color w:val="auto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561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