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001"/>
        </w:tabs>
        <w:spacing w:line="560" w:lineRule="exact"/>
        <w:jc w:val="left"/>
        <w:rPr>
          <w:rFonts w:ascii="黑体" w:hAnsi="宋体" w:eastAsia="黑体"/>
          <w:bCs/>
          <w:color w:val="000000"/>
          <w:szCs w:val="32"/>
        </w:rPr>
      </w:pPr>
      <w:r>
        <w:rPr>
          <w:rFonts w:hint="eastAsia" w:ascii="黑体" w:hAnsi="宋体" w:eastAsia="黑体"/>
          <w:bCs/>
          <w:color w:val="000000"/>
          <w:szCs w:val="32"/>
        </w:rPr>
        <w:t>附件</w:t>
      </w:r>
      <w:r>
        <w:rPr>
          <w:rFonts w:ascii="黑体" w:hAnsi="宋体" w:eastAsia="黑体"/>
          <w:bCs/>
          <w:color w:val="000000"/>
          <w:szCs w:val="32"/>
        </w:rPr>
        <w:t>1</w:t>
      </w:r>
    </w:p>
    <w:p>
      <w:pPr>
        <w:tabs>
          <w:tab w:val="center" w:pos="7001"/>
        </w:tabs>
        <w:snapToGrid w:val="0"/>
        <w:spacing w:line="240" w:lineRule="atLeast"/>
        <w:jc w:val="left"/>
        <w:rPr>
          <w:rFonts w:ascii="黑体" w:eastAsia="黑体"/>
          <w:bCs/>
          <w:color w:val="000000"/>
          <w:sz w:val="18"/>
          <w:szCs w:val="18"/>
        </w:rPr>
      </w:pPr>
    </w:p>
    <w:p>
      <w:pPr>
        <w:tabs>
          <w:tab w:val="center" w:pos="7001"/>
        </w:tabs>
        <w:spacing w:line="56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秦皇岛市教育局</w:t>
      </w:r>
      <w:r>
        <w:rPr>
          <w:rFonts w:ascii="方正小标宋简体" w:hAnsi="宋体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1年公开选聘专任教师岗位条件表</w:t>
      </w:r>
    </w:p>
    <w:p>
      <w:pPr>
        <w:tabs>
          <w:tab w:val="center" w:pos="7001"/>
        </w:tabs>
        <w:snapToGrid w:val="0"/>
        <w:spacing w:line="240" w:lineRule="atLeast"/>
        <w:jc w:val="left"/>
        <w:rPr>
          <w:rFonts w:ascii="黑体" w:eastAsia="黑体"/>
          <w:bCs/>
          <w:color w:val="000000"/>
          <w:sz w:val="18"/>
          <w:szCs w:val="18"/>
        </w:rPr>
      </w:pPr>
    </w:p>
    <w:tbl>
      <w:tblPr>
        <w:tblStyle w:val="5"/>
        <w:tblW w:w="14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96"/>
        <w:gridCol w:w="2917"/>
        <w:gridCol w:w="876"/>
        <w:gridCol w:w="2917"/>
        <w:gridCol w:w="1681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黑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4"/>
                <w:szCs w:val="24"/>
              </w:rPr>
              <w:t>岗位及代码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/>
                <w:kern w:val="0"/>
                <w:sz w:val="24"/>
              </w:rPr>
              <w:t>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秦皇岛市第一中学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语文教师专技岗位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中国语言文学（一级学科）、学科教学（语文）、课程与教学论（语文）（二级学科）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具有高中语文教师资格证、本硕专业方向一致、年龄30周岁以下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/>
                <w:kern w:val="0"/>
                <w:sz w:val="24"/>
              </w:rPr>
              <w:t>2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秦皇岛市第一中学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数学教师专技岗位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数学（一级学科）、学科教学（数学）、课程与教学论（数学）（二级学科）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具有高中数学教师资格证、本硕专业方向一致、年龄30周岁以下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/>
                <w:kern w:val="0"/>
                <w:sz w:val="24"/>
              </w:rPr>
              <w:t>3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秦皇岛市第一中学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英语教师专技岗位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英语语言文学（二级学科）、外国语言学及应用语言学（二级学科）、学科教学（英语）、课程与教学论（英语）（二级学科）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具有高级中学英语教师资格证、本硕专业方向一致、年龄在30周岁及以下。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/>
                <w:kern w:val="0"/>
                <w:sz w:val="24"/>
              </w:rPr>
              <w:t>4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秦皇岛市第一中学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物理教师专技岗位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物理学（一级学科）、学科教学（物理）、课程与教学论（物理）（二级学科）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具有高中物理教师资格证、本硕专业方向一致、年龄30周岁以下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/>
                <w:kern w:val="0"/>
                <w:sz w:val="24"/>
              </w:rPr>
              <w:t>5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秦皇岛市第一中学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思政教师专技岗位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马克思主义理论（一级学科）、政治学（一级学科）、马克思主义哲学（二级学科）、学科教学（思政）、课程与教学论（思政）（二级学科）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具有高中思想政治教育教师资格证、本硕专业方向一致、年龄30周岁以下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6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秦皇岛市第一中学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2"/>
              </w:rPr>
              <w:t>地理教师专技岗位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地理学（一级学科）、地球物理学（一级学科）、地质学（一级学科）、学科教学（地理）、课程与教学论（地理）（二级学科）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具有高中地理教师资格证、本硕专业方向一致、年龄30周岁以下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7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秦皇岛市第三中学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英语教师专技岗位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英语语言文学（二级学科）、学科教学（英语）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具有高中英语教师资格证、本硕专业方向一致、年龄30周岁以下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8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秦皇岛市第三中学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数学教师专技岗位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数学（一级学科）、学科教学（数学）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具有高中数学教师资格证、本硕专业方向一致、年龄30周岁以下</w:t>
            </w:r>
          </w:p>
        </w:tc>
      </w:tr>
    </w:tbl>
    <w:p>
      <w:pPr>
        <w:tabs>
          <w:tab w:val="center" w:pos="7001"/>
        </w:tabs>
        <w:snapToGrid w:val="0"/>
        <w:spacing w:line="240" w:lineRule="atLeast"/>
        <w:jc w:val="center"/>
        <w:rPr>
          <w:rFonts w:ascii="方正小标宋简体" w:hAnsi="宋体" w:eastAsia="方正小标宋简体"/>
          <w:bCs/>
          <w:color w:val="000000"/>
          <w:sz w:val="18"/>
          <w:szCs w:val="18"/>
        </w:rPr>
      </w:pPr>
    </w:p>
    <w:p>
      <w:pPr>
        <w:tabs>
          <w:tab w:val="center" w:pos="7001"/>
        </w:tabs>
        <w:snapToGrid w:val="0"/>
        <w:spacing w:line="240" w:lineRule="atLeast"/>
        <w:jc w:val="center"/>
        <w:rPr>
          <w:rFonts w:ascii="方正小标宋简体" w:hAnsi="宋体" w:eastAsia="方正小标宋简体"/>
          <w:bCs/>
          <w:color w:val="000000"/>
          <w:sz w:val="18"/>
          <w:szCs w:val="18"/>
        </w:rPr>
      </w:pPr>
    </w:p>
    <w:tbl>
      <w:tblPr>
        <w:tblStyle w:val="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96"/>
        <w:gridCol w:w="2917"/>
        <w:gridCol w:w="816"/>
        <w:gridCol w:w="2917"/>
        <w:gridCol w:w="1672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/>
                <w:kern w:val="0"/>
                <w:sz w:val="24"/>
              </w:rPr>
              <w:t>9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秦皇岛市第三中学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历史教师专技岗位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中国古代史（二级学科）、中国近代史（二级学科）、世界史（二级学科）、学科教学（历史）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具有高中历史教师资格证、本硕专业方向一致、年龄30周岁以下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/>
                <w:kern w:val="0"/>
                <w:sz w:val="24"/>
              </w:rPr>
              <w:t>10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秦皇岛市第三中学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化学教师专技岗位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化学（一级学科）、学科教学（化学）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具有高中化学教师资格证、本硕专业方向一致、年龄30周岁以下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/>
                <w:kern w:val="0"/>
                <w:sz w:val="24"/>
              </w:rPr>
              <w:t>11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秦皇岛市第三中学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音乐教师专技岗位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舞蹈表演（体育舞蹈）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大学本科学士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北京体育大学或北京舞蹈学院本科及以上学历、年龄30周岁以下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/>
                <w:kern w:val="0"/>
                <w:sz w:val="24"/>
              </w:rPr>
              <w:t>12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秦皇岛市第三中学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音乐教师专技岗位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音乐表演（吉他）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大学本科学士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中央音乐学院或中国音乐学院本科及以上学历、年龄30周岁以下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13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秦皇岛市第三中学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音乐教师专技岗位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音乐表演（古筝）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大学本科学士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中央音乐学院或中国音乐学院本科及以上学历、年龄30周岁以下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14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秦皇岛市第三中学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音乐教师专技岗位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音乐表演（钢琴）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大学本科学士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中央音乐学院或中国音乐学院本科及以上学历、年龄30周岁以下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15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秦皇岛市第五中学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数学教师专技岗位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数学（一级学科）、学科教学（数学）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具有高中数学教师资格证、本硕专业方向一致、年龄30周岁以下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16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秦皇岛市第五中学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生物教师专技岗位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生物学（一级学科）、学科教学（生物）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具有高中生物教师资格证、本硕专业方向一致、年龄30周岁以下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17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秦皇岛市新世纪高级中学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语文教师专技岗位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中国语言文学（一级学科）、学科教学（语文）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具有高中语文教师资格证、本硕专业方向一致、年龄30周岁以下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18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秦皇岛市新世纪高级中学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生物教师专技岗位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生物学（一级学科）、学科教学（生物）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具有高中生物教师资格证、本硕专业方向一致、年龄30周岁以下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19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秦皇岛市新世纪高级中学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数学教师专技岗位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数学（一级学科）、学科教学（数学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具有高中数学教师资格证、本硕专业方向一致、年龄30周岁以下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20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秦皇岛市新世纪高级中学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政治教师专技岗位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法学（一级学科）、政治学（一级学科）、马克思主义理论（一级学科）、学科教学（思政）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具有高中政治教师资格证、本硕专业方向一致、年龄30周岁以下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21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秦皇岛市新世纪高级中学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历史教师专技岗位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历史学（一级学科）、学科教学（历史）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具有高中历史教师资格证、本硕专业方向一致、年龄30周岁以下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22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秦皇岛市山海关第一中学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物理教师专技岗位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物理学（一级学科）、学科教学（物理）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具有高中物理教师资格证、本硕专业方向一致、年龄30周岁以下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23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秦皇岛市山海关第一中学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英语教师专技岗位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英语语言文学（二级学科）、外国语言学及应用语言学(二级学科)、学科教学（英语）、英语口译、英语笔译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硕士研究生硕士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具有高中英语教师资格证、本硕专业方向一致、年龄30周岁以下</w:t>
            </w:r>
          </w:p>
        </w:tc>
      </w:tr>
    </w:tbl>
    <w:p>
      <w:pPr>
        <w:rPr>
          <w:rFonts w:hint="eastAsia" w:ascii="仿宋_GB2312" w:hAnsi="仿宋_GB2312" w:cs="仿宋_GB2312"/>
          <w:szCs w:val="32"/>
        </w:rPr>
        <w:sectPr>
          <w:pgSz w:w="16838" w:h="11906" w:orient="landscape"/>
          <w:pgMar w:top="1417" w:right="1984" w:bottom="1361" w:left="1871" w:header="1077" w:footer="964" w:gutter="0"/>
          <w:cols w:space="720" w:num="1"/>
          <w:docGrid w:type="lines" w:linePitch="579" w:charSpace="-849"/>
        </w:sectPr>
      </w:pPr>
    </w:p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05465"/>
    <w:rsid w:val="174C3552"/>
    <w:rsid w:val="66705465"/>
    <w:rsid w:val="7D6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2021-09-30T04:04:00Z</dcterms:created>
  <dc:creator>Administrator</dc:creator>
  <cp:lastModifiedBy>Administrator</cp:lastModifiedBy>
  <dcterms:modified xsi:type="dcterms:W3CDTF">2021-09-30T04:07:42Z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