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Lines="0" w:afterLines="0"/>
        <w:rPr>
          <w:rFonts w:hint="eastAsia" w:ascii="仿宋_GB2312" w:hAnsi="仿宋_GB2312" w:eastAsia="仿宋_GB2312"/>
          <w:color w:val="000000"/>
          <w:w w:val="110"/>
          <w:sz w:val="32"/>
          <w:szCs w:val="24"/>
        </w:rPr>
      </w:pPr>
      <w:bookmarkStart w:id="0" w:name="_GoBack"/>
      <w:r>
        <w:rPr>
          <w:rFonts w:hint="default"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1905</wp:posOffset>
                </wp:positionV>
                <wp:extent cx="1948180" cy="12700"/>
                <wp:effectExtent l="0" t="0" r="0" b="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68" h="2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.75pt;margin-top:0.15pt;height:1pt;width:153.4pt;mso-position-horizontal-relative:page;mso-position-vertical-relative:page;z-index:251659264;mso-width-relative:page;mso-height-relative:page;" filled="f" stroked="t" coordsize="3068,20" o:allowincell="f" o:gfxdata="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I1bz9YAAAAHAQAADwAAAAAAAAABACAAAAAiAAAAZHJzL2Rvd25yZXYu&#10;eG1sUEsBAhQAFAAAAAgAh07iQMg0SQ02AgAAjwQAAA4AAAAAAAAAAQAgAAAAJQEAAGRycy9lMm9E&#10;b2MueG1sUEsFBgAAAAAGAAYAWQEAAM0FAAAAAA==&#10;" path="m0,0hhl3067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_GB2312" w:hAnsi="仿宋_GB2312" w:eastAsia="仿宋_GB2312"/>
          <w:color w:val="000000"/>
          <w:w w:val="110"/>
          <w:sz w:val="32"/>
          <w:szCs w:val="24"/>
        </w:rPr>
        <w:t>附件3</w:t>
      </w:r>
    </w:p>
    <w:p>
      <w:pPr>
        <w:pStyle w:val="3"/>
        <w:kinsoku w:val="0"/>
        <w:overflowPunct w:val="0"/>
        <w:spacing w:beforeLines="0" w:afterLines="0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2"/>
        <w:kinsoku w:val="0"/>
        <w:overflowPunct w:val="0"/>
        <w:spacing w:beforeLines="0" w:afterLines="0"/>
        <w:ind w:left="0"/>
        <w:jc w:val="center"/>
        <w:rPr>
          <w:rFonts w:hint="eastAsia" w:ascii="方正小标宋简体" w:hAnsi="方正小标宋简体" w:eastAsia="方正小标宋简体"/>
          <w:color w:val="000000"/>
          <w:w w:val="105"/>
          <w:sz w:val="44"/>
          <w:szCs w:val="24"/>
        </w:rPr>
      </w:pPr>
      <w:r>
        <w:rPr>
          <w:rFonts w:hint="eastAsia" w:ascii="方正小标宋简体" w:hAnsi="方正小标宋简体" w:eastAsia="方正小标宋简体"/>
          <w:color w:val="000000"/>
          <w:w w:val="105"/>
          <w:sz w:val="44"/>
          <w:szCs w:val="24"/>
        </w:rPr>
        <w:t>阳西县银龄讲学计划服务协议书</w:t>
      </w:r>
    </w:p>
    <w:p>
      <w:pPr>
        <w:pStyle w:val="3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left="1048" w:right="216" w:firstLine="7"/>
        <w:rPr>
          <w:rFonts w:hint="eastAsia"/>
          <w:color w:val="000000"/>
          <w:w w:val="90"/>
          <w:sz w:val="32"/>
          <w:szCs w:val="24"/>
        </w:rPr>
      </w:pPr>
    </w:p>
    <w:p>
      <w:pPr>
        <w:pStyle w:val="3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579" w:firstLineChars="20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0"/>
          <w:sz w:val="32"/>
          <w:szCs w:val="24"/>
        </w:rPr>
        <w:t>招募方：阳西县教育局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（以下简称甲方）</w:t>
      </w:r>
    </w:p>
    <w:p>
      <w:pPr>
        <w:pStyle w:val="3"/>
        <w:tabs>
          <w:tab w:val="left" w:pos="3625"/>
          <w:tab w:val="left" w:pos="4211"/>
          <w:tab w:val="left" w:pos="4740"/>
          <w:tab w:val="left" w:pos="6116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611" w:firstLineChars="20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应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募方：姓名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，性别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，民族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  <w:u w:val="single" w:color="000000"/>
        </w:rPr>
        <w:t xml:space="preserve">    </w:t>
      </w:r>
    </w:p>
    <w:p>
      <w:pPr>
        <w:pStyle w:val="3"/>
        <w:tabs>
          <w:tab w:val="left" w:pos="3625"/>
          <w:tab w:val="left" w:pos="4512"/>
          <w:tab w:val="left" w:pos="4740"/>
          <w:tab w:val="left" w:pos="8200"/>
          <w:tab w:val="left" w:pos="8290"/>
          <w:tab w:val="left" w:pos="9255"/>
        </w:tabs>
        <w:kinsoku w:val="0"/>
        <w:overflowPunct w:val="0"/>
        <w:spacing w:beforeLines="0" w:afterLines="0" w:line="324" w:lineRule="auto"/>
        <w:ind w:right="216"/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</w:pPr>
      <w:r>
        <w:rPr>
          <w:rFonts w:hint="eastAsia" w:ascii="仿宋_GB2312" w:hAnsi="仿宋_GB2312" w:eastAsia="仿宋_GB2312"/>
          <w:b/>
          <w:color w:val="000000"/>
          <w:position w:val="3"/>
          <w:sz w:val="32"/>
          <w:szCs w:val="24"/>
        </w:rPr>
        <w:t xml:space="preserve">   身份证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</w:rPr>
        <w:t>号码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</w:rPr>
        <w:t>，住址</w:t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ab/>
      </w:r>
    </w:p>
    <w:p>
      <w:pPr>
        <w:pStyle w:val="3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beforeLines="0" w:afterLines="0" w:line="324" w:lineRule="auto"/>
        <w:ind w:right="216" w:firstLine="434" w:firstLineChars="15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0"/>
          <w:sz w:val="32"/>
          <w:szCs w:val="24"/>
        </w:rPr>
        <w:t>（以下简称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乙方）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阳西县2021年公开招募“银龄讲学计划”讲学教师的公告》以及相关法律法规政策规定，甲、乙双方达成以下协议，共同遵守：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甲方根据阳西县农村教育的实际情况，设置讲学教师岗位。经乙方自愿报名，甲方组织选拔，并报阳江市教育局和省教育厅备案，确定乙方为银龄讲学计划志愿者，服务期1年，时间从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日至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日止。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第—条  甲方权利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1.乙方试用期为2个月，考核不合格者，甲方有权单方终止协议。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3.发现乙方隐瞒协议签订前已患重大疾病或提供其他虚假信息等情况，并导致其不能继续从事讲学支教服务的，甲方有权 单方面解除本协议。乙方不再享有本协议书笫三条约定的各项权利。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4.在乙方申请相应政策支持时，甲方有权要求其提供相关政策依据或证明。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第二条  甲方义务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1.落实国家和省对乙方待遇的有关规定，并为乙方提供必要的工作和生活条件 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2.负责乙方服务期间的日常管理和考核，并给予相应指导和帮助。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第三条  乙方权利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1.乙方在本协议履行期间有特殊情况可向甲方提出终止协议，若在试用期内，必须提前7天通知甲方；若试用期满， 必须提前15天通知甲方，并做好工作交接。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自本协议书生效之日起，在服务期内参加讲学支教服务工作，获得规定的工作经费。工作经费主要用于发放工作补助、交通差旅补助及购买意外保险费等补助。经甲方同意，工作未满1学年（注：1学年不超过10个月）终止协议的，按讲学月数（不包括离开当月）以每月3000元的标准向乙方发放讲学期间的工作经费补助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3.乙方因病因伤发生的医疗费用，按本人医疗关系和有关规定办理。对于服务期间表现优秀的，在评优表彰等方面优先考虑，可按照有关规定给予表彰、奖励。乙方与受援学校无劳动人事关系。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第四条  乙方义务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1.保证本人确系自愿申请阳西县讲学教师岗位工作，保证本人填报相关资料的真实性。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2.服从岗位分配，按时到受援学校报到。除不可抗力因素，不以任何理由拖延。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未经甲方同意，不得单方终止协议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4.服务期满，做好离岗工作交接。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第五条  违约责任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如因一方违约造成另一方损失的，守约方有权解除协议，违约方承担因违约造成的一切损失。乙方违反中小学教 师相关管理规定受到处分的，应在处理决定公布后1个月内，一次性向甲方退还所享受的工作经费补助。</w:t>
      </w:r>
    </w:p>
    <w:p>
      <w:pPr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第六条  附则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本协议未尽事宜，凡属国家及相关部门有规定的，按有关规定执行，其他事宜双方协商解决。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本协议书一式四份，具有同等法律效力，双方各持一份，受援学校存档一份，报阳江市教育局备案一份。此协议自双方签字、盖章后生效。</w:t>
      </w: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甲方（签字盖章）：              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乙方（签字盖章）：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beforeLines="0" w:afterLines="0" w:line="560" w:lineRule="exact"/>
        <w:ind w:firstLine="1280" w:firstLineChars="400"/>
        <w:rPr>
          <w:rFonts w:hint="eastAsia" w:ascii="仿宋_GB2312" w:hAnsi="仿宋_GB2312" w:eastAsia="仿宋_GB2312"/>
          <w:color w:val="000000"/>
          <w:sz w:val="20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协议签订时间：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   年   月   日</w:t>
      </w:r>
      <w:r>
        <w:rPr>
          <w:rFonts w:hint="default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6498590</wp:posOffset>
                </wp:positionH>
                <wp:positionV relativeFrom="page">
                  <wp:posOffset>1905</wp:posOffset>
                </wp:positionV>
                <wp:extent cx="1072515" cy="12700"/>
                <wp:effectExtent l="0" t="0" r="0" b="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689" h="20">
                              <a:moveTo>
                                <a:pt x="0" y="0"/>
                              </a:moveTo>
                              <a:lnTo>
                                <a:pt x="1688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11.7pt;margin-top:0.15pt;height:1pt;width:84.45pt;mso-position-horizontal-relative:page;mso-position-vertical-relative:page;z-index:251660288;mso-width-relative:page;mso-height-relative:page;" filled="f" stroked="t" coordsize="1689,20" o:allowincell="f" o:gfxdata="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apMmTUAAAACAEAAA8AAAAAAAAAAQAgAAAAIgAAAGRycy9kb3ducmV2Lnht&#10;bFBLAQIUABQAAAAIAIdO4kB2gbPQNgIAAI8EAAAOAAAAAAAAAAEAIAAAACMBAABkcnMvZTJvRG9j&#10;LnhtbFBLBQYAAAAABgAGAFkBAADLBQAAAAA=&#10;" path="m0,0hhl1688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</w:p>
    <w:p>
      <w:pPr>
        <w:pStyle w:val="3"/>
        <w:kinsoku w:val="0"/>
        <w:overflowPunct w:val="0"/>
        <w:spacing w:beforeLines="0" w:afterLines="0" w:line="560" w:lineRule="exact"/>
        <w:rPr>
          <w:rFonts w:hint="eastAsia" w:ascii="仿宋_GB2312" w:hAnsi="仿宋_GB2312" w:eastAsia="仿宋_GB2312"/>
          <w:color w:val="000000"/>
          <w:sz w:val="20"/>
          <w:szCs w:val="24"/>
        </w:rPr>
      </w:pPr>
    </w:p>
    <w:p>
      <w:pPr>
        <w:pStyle w:val="3"/>
        <w:kinsoku w:val="0"/>
        <w:overflowPunct w:val="0"/>
        <w:spacing w:beforeLines="0" w:afterLines="0" w:line="560" w:lineRule="exact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3"/>
        <w:kinsoku w:val="0"/>
        <w:overflowPunct w:val="0"/>
        <w:spacing w:beforeLines="0" w:afterLines="0" w:line="560" w:lineRule="exact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3"/>
        <w:kinsoku w:val="0"/>
        <w:overflowPunct w:val="0"/>
        <w:spacing w:before="10" w:beforeLines="0" w:afterLines="0" w:line="560" w:lineRule="exact"/>
        <w:rPr>
          <w:rFonts w:hint="default" w:ascii="Times New Roman" w:eastAsia="等线"/>
          <w:color w:val="000000"/>
          <w:sz w:val="29"/>
          <w:szCs w:val="24"/>
        </w:rPr>
      </w:pPr>
    </w:p>
    <w:p>
      <w:pPr>
        <w:spacing w:beforeLines="0" w:afterLines="0" w:line="560" w:lineRule="exact"/>
        <w:rPr>
          <w:rFonts w:hint="eastAsia"/>
          <w:color w:val="000000"/>
          <w:sz w:val="22"/>
          <w:szCs w:val="24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42D4613"/>
    <w:rsid w:val="04B83225"/>
    <w:rsid w:val="08A92D5A"/>
    <w:rsid w:val="09E7379B"/>
    <w:rsid w:val="22E87D70"/>
    <w:rsid w:val="5F870537"/>
    <w:rsid w:val="5FBC40E8"/>
    <w:rsid w:val="67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beforeLines="0" w:afterLines="0"/>
    </w:pPr>
    <w:rPr>
      <w:rFonts w:hint="eastAsia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CD8883AB70954794BA5A0733895D64D5</vt:lpwstr>
  </property>
</Properties>
</file>