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eastAsia="黑体"/>
          <w:sz w:val="32"/>
          <w:szCs w:val="32"/>
        </w:rPr>
      </w:pPr>
      <w:r>
        <w:rPr>
          <w:rFonts w:hint="eastAsia" w:ascii="黑体" w:eastAsia="黑体"/>
          <w:sz w:val="32"/>
          <w:szCs w:val="32"/>
        </w:rPr>
        <w:t>附件</w:t>
      </w:r>
      <w:r>
        <w:rPr>
          <w:rFonts w:ascii="黑体" w:eastAsia="黑体"/>
          <w:sz w:val="32"/>
          <w:szCs w:val="32"/>
        </w:rPr>
        <w:t>2</w:t>
      </w:r>
    </w:p>
    <w:p>
      <w:pPr>
        <w:spacing w:line="320" w:lineRule="exact"/>
        <w:rPr>
          <w:rFonts w:hint="eastAsia" w:ascii="仿宋_GB2312" w:eastAsia="仿宋_GB2312"/>
          <w:sz w:val="24"/>
        </w:rPr>
      </w:pPr>
    </w:p>
    <w:p>
      <w:pPr>
        <w:spacing w:line="576" w:lineRule="exact"/>
        <w:jc w:val="center"/>
        <w:rPr>
          <w:rFonts w:hint="eastAsia" w:ascii="方正小标宋简体" w:eastAsia="方正小标宋简体"/>
          <w:b/>
          <w:w w:val="90"/>
          <w:sz w:val="44"/>
          <w:szCs w:val="44"/>
        </w:rPr>
      </w:pPr>
      <w:r>
        <w:rPr>
          <w:rFonts w:hint="eastAsia" w:ascii="方正小标宋简体" w:eastAsia="方正小标宋简体"/>
          <w:b/>
          <w:w w:val="90"/>
          <w:sz w:val="44"/>
          <w:szCs w:val="44"/>
        </w:rPr>
        <w:t>四川省广元市元坝中学面向社会公开引进优秀高中学科教师岗位条件一览表</w:t>
      </w:r>
    </w:p>
    <w:p>
      <w:pPr>
        <w:spacing w:line="320" w:lineRule="exact"/>
        <w:rPr>
          <w:rFonts w:hint="eastAsia" w:ascii="仿宋_GB2312" w:eastAsia="仿宋_GB2312"/>
          <w:sz w:val="24"/>
        </w:rPr>
      </w:pPr>
    </w:p>
    <w:tbl>
      <w:tblPr>
        <w:tblStyle w:val="6"/>
        <w:tblW w:w="14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148"/>
        <w:gridCol w:w="871"/>
        <w:gridCol w:w="702"/>
        <w:gridCol w:w="527"/>
        <w:gridCol w:w="668"/>
        <w:gridCol w:w="5812"/>
        <w:gridCol w:w="1080"/>
        <w:gridCol w:w="1080"/>
        <w:gridCol w:w="727"/>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900" w:type="dxa"/>
            <w:noWrap w:val="0"/>
            <w:vAlign w:val="center"/>
          </w:tcPr>
          <w:p>
            <w:pPr>
              <w:spacing w:line="280" w:lineRule="exact"/>
              <w:jc w:val="center"/>
              <w:rPr>
                <w:rFonts w:eastAsia="黑体"/>
                <w:sz w:val="20"/>
                <w:szCs w:val="20"/>
              </w:rPr>
            </w:pPr>
            <w:r>
              <w:rPr>
                <w:rFonts w:eastAsia="黑体"/>
                <w:sz w:val="20"/>
                <w:szCs w:val="20"/>
              </w:rPr>
              <w:t>主管部门</w:t>
            </w:r>
          </w:p>
        </w:tc>
        <w:tc>
          <w:tcPr>
            <w:tcW w:w="1148" w:type="dxa"/>
            <w:noWrap w:val="0"/>
            <w:vAlign w:val="center"/>
          </w:tcPr>
          <w:p>
            <w:pPr>
              <w:spacing w:line="280" w:lineRule="exact"/>
              <w:jc w:val="center"/>
              <w:rPr>
                <w:rFonts w:eastAsia="黑体"/>
                <w:spacing w:val="-14"/>
                <w:sz w:val="20"/>
                <w:szCs w:val="20"/>
              </w:rPr>
            </w:pPr>
            <w:r>
              <w:rPr>
                <w:rFonts w:eastAsia="黑体"/>
                <w:spacing w:val="-14"/>
                <w:sz w:val="20"/>
                <w:szCs w:val="20"/>
              </w:rPr>
              <w:t>引进单位名称</w:t>
            </w:r>
          </w:p>
        </w:tc>
        <w:tc>
          <w:tcPr>
            <w:tcW w:w="871" w:type="dxa"/>
            <w:noWrap w:val="0"/>
            <w:vAlign w:val="center"/>
          </w:tcPr>
          <w:p>
            <w:pPr>
              <w:spacing w:line="280" w:lineRule="exact"/>
              <w:jc w:val="center"/>
              <w:rPr>
                <w:rFonts w:eastAsia="黑体"/>
                <w:spacing w:val="-8"/>
                <w:sz w:val="20"/>
                <w:szCs w:val="20"/>
              </w:rPr>
            </w:pPr>
            <w:r>
              <w:rPr>
                <w:rFonts w:eastAsia="黑体"/>
                <w:spacing w:val="-8"/>
                <w:sz w:val="20"/>
                <w:szCs w:val="20"/>
              </w:rPr>
              <w:t>引进岗位</w:t>
            </w:r>
          </w:p>
        </w:tc>
        <w:tc>
          <w:tcPr>
            <w:tcW w:w="702" w:type="dxa"/>
            <w:noWrap w:val="0"/>
            <w:vAlign w:val="center"/>
          </w:tcPr>
          <w:p>
            <w:pPr>
              <w:spacing w:line="280" w:lineRule="exact"/>
              <w:jc w:val="center"/>
              <w:rPr>
                <w:rFonts w:eastAsia="黑体"/>
                <w:spacing w:val="-8"/>
                <w:sz w:val="20"/>
                <w:szCs w:val="20"/>
              </w:rPr>
            </w:pPr>
            <w:r>
              <w:rPr>
                <w:rFonts w:eastAsia="黑体"/>
                <w:spacing w:val="-8"/>
                <w:sz w:val="20"/>
                <w:szCs w:val="20"/>
              </w:rPr>
              <w:t>岗位</w:t>
            </w:r>
          </w:p>
          <w:p>
            <w:pPr>
              <w:spacing w:line="280" w:lineRule="exact"/>
              <w:jc w:val="center"/>
              <w:rPr>
                <w:rFonts w:eastAsia="黑体"/>
                <w:spacing w:val="-8"/>
                <w:sz w:val="20"/>
                <w:szCs w:val="20"/>
              </w:rPr>
            </w:pPr>
            <w:r>
              <w:rPr>
                <w:rFonts w:eastAsia="黑体"/>
                <w:spacing w:val="-8"/>
                <w:sz w:val="20"/>
                <w:szCs w:val="20"/>
              </w:rPr>
              <w:t>编码</w:t>
            </w:r>
          </w:p>
        </w:tc>
        <w:tc>
          <w:tcPr>
            <w:tcW w:w="527" w:type="dxa"/>
            <w:noWrap w:val="0"/>
            <w:vAlign w:val="center"/>
          </w:tcPr>
          <w:p>
            <w:pPr>
              <w:spacing w:line="280" w:lineRule="exact"/>
              <w:jc w:val="center"/>
              <w:rPr>
                <w:rFonts w:eastAsia="黑体"/>
                <w:sz w:val="20"/>
                <w:szCs w:val="20"/>
              </w:rPr>
            </w:pPr>
            <w:r>
              <w:rPr>
                <w:rFonts w:eastAsia="黑体"/>
                <w:sz w:val="20"/>
                <w:szCs w:val="20"/>
              </w:rPr>
              <w:t>引进</w:t>
            </w:r>
          </w:p>
          <w:p>
            <w:pPr>
              <w:spacing w:line="280" w:lineRule="exact"/>
              <w:jc w:val="center"/>
              <w:rPr>
                <w:rFonts w:eastAsia="黑体"/>
                <w:sz w:val="20"/>
                <w:szCs w:val="20"/>
              </w:rPr>
            </w:pPr>
            <w:r>
              <w:rPr>
                <w:rFonts w:eastAsia="黑体"/>
                <w:sz w:val="20"/>
                <w:szCs w:val="20"/>
              </w:rPr>
              <w:t>人数</w:t>
            </w:r>
          </w:p>
        </w:tc>
        <w:tc>
          <w:tcPr>
            <w:tcW w:w="668" w:type="dxa"/>
            <w:noWrap w:val="0"/>
            <w:vAlign w:val="center"/>
          </w:tcPr>
          <w:p>
            <w:pPr>
              <w:spacing w:line="280" w:lineRule="exact"/>
              <w:jc w:val="center"/>
              <w:rPr>
                <w:rFonts w:eastAsia="黑体"/>
                <w:sz w:val="20"/>
                <w:szCs w:val="20"/>
              </w:rPr>
            </w:pPr>
            <w:r>
              <w:rPr>
                <w:rFonts w:eastAsia="黑体"/>
                <w:sz w:val="20"/>
                <w:szCs w:val="20"/>
              </w:rPr>
              <w:t>学历</w:t>
            </w:r>
          </w:p>
        </w:tc>
        <w:tc>
          <w:tcPr>
            <w:tcW w:w="5812" w:type="dxa"/>
            <w:noWrap w:val="0"/>
            <w:vAlign w:val="center"/>
          </w:tcPr>
          <w:p>
            <w:pPr>
              <w:spacing w:line="280" w:lineRule="exact"/>
              <w:jc w:val="center"/>
              <w:rPr>
                <w:rFonts w:eastAsia="黑体"/>
                <w:sz w:val="20"/>
                <w:szCs w:val="20"/>
              </w:rPr>
            </w:pPr>
            <w:r>
              <w:rPr>
                <w:rFonts w:eastAsia="黑体"/>
                <w:sz w:val="20"/>
                <w:szCs w:val="20"/>
              </w:rPr>
              <w:t>专　　　业</w:t>
            </w:r>
          </w:p>
        </w:tc>
        <w:tc>
          <w:tcPr>
            <w:tcW w:w="1080" w:type="dxa"/>
            <w:noWrap w:val="0"/>
            <w:vAlign w:val="center"/>
          </w:tcPr>
          <w:p>
            <w:pPr>
              <w:spacing w:line="280" w:lineRule="exact"/>
              <w:jc w:val="center"/>
              <w:rPr>
                <w:rFonts w:eastAsia="黑体"/>
                <w:spacing w:val="-14"/>
                <w:sz w:val="20"/>
                <w:szCs w:val="20"/>
              </w:rPr>
            </w:pPr>
            <w:r>
              <w:rPr>
                <w:rFonts w:eastAsia="黑体"/>
                <w:spacing w:val="-14"/>
                <w:sz w:val="20"/>
                <w:szCs w:val="20"/>
              </w:rPr>
              <w:t>专业技术职务任职资格</w:t>
            </w:r>
          </w:p>
        </w:tc>
        <w:tc>
          <w:tcPr>
            <w:tcW w:w="1080" w:type="dxa"/>
            <w:noWrap w:val="0"/>
            <w:vAlign w:val="center"/>
          </w:tcPr>
          <w:p>
            <w:pPr>
              <w:spacing w:line="280" w:lineRule="exact"/>
              <w:jc w:val="center"/>
              <w:rPr>
                <w:rFonts w:hint="eastAsia" w:eastAsia="黑体"/>
                <w:sz w:val="20"/>
                <w:szCs w:val="20"/>
              </w:rPr>
            </w:pPr>
            <w:r>
              <w:rPr>
                <w:rFonts w:eastAsia="黑体"/>
                <w:sz w:val="20"/>
                <w:szCs w:val="20"/>
              </w:rPr>
              <w:t>执（职）</w:t>
            </w:r>
          </w:p>
          <w:p>
            <w:pPr>
              <w:spacing w:line="280" w:lineRule="exact"/>
              <w:jc w:val="center"/>
              <w:rPr>
                <w:rFonts w:eastAsia="黑体"/>
                <w:sz w:val="20"/>
                <w:szCs w:val="20"/>
              </w:rPr>
            </w:pPr>
            <w:r>
              <w:rPr>
                <w:rFonts w:eastAsia="黑体"/>
                <w:sz w:val="20"/>
                <w:szCs w:val="20"/>
              </w:rPr>
              <w:t>业资格</w:t>
            </w:r>
          </w:p>
        </w:tc>
        <w:tc>
          <w:tcPr>
            <w:tcW w:w="727" w:type="dxa"/>
            <w:noWrap w:val="0"/>
            <w:vAlign w:val="center"/>
          </w:tcPr>
          <w:p>
            <w:pPr>
              <w:spacing w:line="280" w:lineRule="exact"/>
              <w:jc w:val="center"/>
              <w:rPr>
                <w:rFonts w:hint="eastAsia" w:eastAsia="黑体"/>
                <w:spacing w:val="-12"/>
                <w:sz w:val="20"/>
                <w:szCs w:val="20"/>
              </w:rPr>
            </w:pPr>
            <w:r>
              <w:rPr>
                <w:rFonts w:hint="eastAsia" w:eastAsia="黑体"/>
                <w:spacing w:val="-12"/>
                <w:sz w:val="20"/>
                <w:szCs w:val="20"/>
              </w:rPr>
              <w:t>年龄</w:t>
            </w:r>
          </w:p>
          <w:p>
            <w:pPr>
              <w:spacing w:line="280" w:lineRule="exact"/>
              <w:jc w:val="center"/>
              <w:rPr>
                <w:rFonts w:hint="eastAsia" w:eastAsia="黑体"/>
                <w:spacing w:val="-12"/>
                <w:sz w:val="20"/>
                <w:szCs w:val="20"/>
              </w:rPr>
            </w:pPr>
            <w:r>
              <w:rPr>
                <w:rFonts w:hint="eastAsia" w:eastAsia="黑体"/>
                <w:spacing w:val="-12"/>
                <w:sz w:val="20"/>
                <w:szCs w:val="20"/>
              </w:rPr>
              <w:t>要求</w:t>
            </w:r>
          </w:p>
        </w:tc>
        <w:tc>
          <w:tcPr>
            <w:tcW w:w="523" w:type="dxa"/>
            <w:noWrap w:val="0"/>
            <w:vAlign w:val="center"/>
          </w:tcPr>
          <w:p>
            <w:pPr>
              <w:spacing w:line="280" w:lineRule="exact"/>
              <w:jc w:val="center"/>
              <w:rPr>
                <w:rFonts w:eastAsia="黑体"/>
                <w:sz w:val="20"/>
                <w:szCs w:val="20"/>
              </w:rPr>
            </w:pPr>
            <w:r>
              <w:rPr>
                <w:rFonts w:eastAsia="黑体"/>
                <w:sz w:val="20"/>
                <w:szCs w:val="20"/>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高中语文教师</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2101001</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pacing w:val="-6"/>
                <w:sz w:val="20"/>
                <w:szCs w:val="20"/>
              </w:rPr>
            </w:pPr>
            <w:r>
              <w:rPr>
                <w:rFonts w:hint="eastAsia" w:ascii="仿宋_GB2312" w:eastAsia="仿宋_GB2312"/>
                <w:sz w:val="20"/>
                <w:szCs w:val="20"/>
              </w:rPr>
              <w:t>本科：汉</w:t>
            </w:r>
            <w:r>
              <w:rPr>
                <w:rFonts w:hint="eastAsia" w:ascii="仿宋_GB2312" w:eastAsia="仿宋_GB2312"/>
                <w:spacing w:val="-6"/>
                <w:sz w:val="20"/>
                <w:szCs w:val="20"/>
              </w:rPr>
              <w:t>语言文学/汉语言/汉语国际教育/对外汉语/语言学/编辑学/汉语言文学教育/古典文献学/中国语言文化/中国语言文学/中文应用/应用语言学/古典文献/文学/中国文学/汉语言文学与文化传播/秘书学/文秘/文秘学/中文秘书教育</w:t>
            </w:r>
          </w:p>
          <w:p>
            <w:pPr>
              <w:spacing w:line="280" w:lineRule="exact"/>
              <w:rPr>
                <w:rFonts w:hint="eastAsia" w:ascii="仿宋_GB2312" w:eastAsia="仿宋_GB2312"/>
                <w:sz w:val="20"/>
                <w:szCs w:val="20"/>
              </w:rPr>
            </w:pPr>
            <w:r>
              <w:rPr>
                <w:rFonts w:hint="eastAsia" w:ascii="仿宋_GB2312" w:eastAsia="仿宋_GB2312"/>
                <w:sz w:val="20"/>
                <w:szCs w:val="20"/>
              </w:rPr>
              <w:t>研究生：文艺学/语言学及应用语言学/汉语言文字学/中国古典文献学/中国古代文学/中国现当代文学/文学阅读与文学教育/比较文学与世界文学</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具有相应</w:t>
            </w:r>
          </w:p>
          <w:p>
            <w:pPr>
              <w:spacing w:line="280" w:lineRule="exact"/>
              <w:jc w:val="center"/>
              <w:rPr>
                <w:rFonts w:hint="eastAsia" w:ascii="仿宋_GB2312" w:eastAsia="仿宋_GB2312"/>
                <w:sz w:val="20"/>
                <w:szCs w:val="20"/>
              </w:rPr>
            </w:pPr>
            <w:r>
              <w:rPr>
                <w:rFonts w:hint="eastAsia" w:ascii="仿宋_GB2312" w:eastAsia="仿宋_GB2312"/>
                <w:kern w:val="0"/>
                <w:sz w:val="20"/>
                <w:szCs w:val="20"/>
              </w:rPr>
              <w:t>教师资格证</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高中数学教师</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2101002</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z w:val="20"/>
                <w:szCs w:val="20"/>
              </w:rPr>
            </w:pPr>
            <w:r>
              <w:rPr>
                <w:rFonts w:hint="eastAsia" w:ascii="仿宋_GB2312" w:eastAsia="仿宋_GB2312"/>
                <w:sz w:val="20"/>
                <w:szCs w:val="20"/>
              </w:rPr>
              <w:t>本科：数学与应用数学/信息与计算科学/数理基础科学/应用数学/计算数学及其应用软件/数学</w:t>
            </w:r>
          </w:p>
          <w:p>
            <w:pPr>
              <w:spacing w:line="280" w:lineRule="exact"/>
              <w:rPr>
                <w:rFonts w:hint="eastAsia" w:ascii="仿宋_GB2312" w:eastAsia="仿宋_GB2312"/>
                <w:sz w:val="20"/>
                <w:szCs w:val="20"/>
              </w:rPr>
            </w:pPr>
            <w:r>
              <w:rPr>
                <w:rFonts w:hint="eastAsia" w:ascii="仿宋_GB2312" w:eastAsia="仿宋_GB2312"/>
                <w:sz w:val="20"/>
                <w:szCs w:val="20"/>
              </w:rPr>
              <w:t>研究生：基础数学/计算数学/概率论与数理统计/应用数学/运筹学与控制论</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具有相应</w:t>
            </w:r>
          </w:p>
          <w:p>
            <w:pPr>
              <w:spacing w:line="280" w:lineRule="exact"/>
              <w:jc w:val="center"/>
              <w:rPr>
                <w:rFonts w:hint="eastAsia" w:ascii="仿宋_GB2312" w:eastAsia="仿宋_GB2312"/>
                <w:sz w:val="20"/>
                <w:szCs w:val="20"/>
              </w:rPr>
            </w:pPr>
            <w:r>
              <w:rPr>
                <w:rFonts w:hint="eastAsia" w:ascii="仿宋_GB2312" w:eastAsia="仿宋_GB2312"/>
                <w:kern w:val="0"/>
                <w:sz w:val="20"/>
                <w:szCs w:val="20"/>
              </w:rPr>
              <w:t>教师资格证</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高中英语教师</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2101003</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z w:val="20"/>
                <w:szCs w:val="20"/>
              </w:rPr>
            </w:pPr>
            <w:r>
              <w:rPr>
                <w:rFonts w:hint="eastAsia" w:ascii="仿宋_GB2312" w:eastAsia="仿宋_GB2312"/>
                <w:sz w:val="20"/>
                <w:szCs w:val="20"/>
              </w:rPr>
              <w:t>本科：英语/英语语言文学/国际经济与贸易英语/商贸英语/商务英语/应用英语/英语翻译/英汉笔译</w:t>
            </w:r>
          </w:p>
          <w:p>
            <w:pPr>
              <w:spacing w:line="280" w:lineRule="exact"/>
              <w:rPr>
                <w:rFonts w:hint="eastAsia" w:ascii="仿宋_GB2312" w:eastAsia="仿宋_GB2312"/>
                <w:sz w:val="20"/>
                <w:szCs w:val="20"/>
              </w:rPr>
            </w:pPr>
            <w:r>
              <w:rPr>
                <w:rFonts w:hint="eastAsia" w:ascii="仿宋_GB2312" w:eastAsia="仿宋_GB2312"/>
                <w:sz w:val="20"/>
                <w:szCs w:val="20"/>
              </w:rPr>
              <w:t>研究生：英语语言文学/翻译硕士专业（英语笔译、英语口译）</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具有相应</w:t>
            </w:r>
          </w:p>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教师资格证</w:t>
            </w:r>
          </w:p>
        </w:tc>
        <w:tc>
          <w:tcPr>
            <w:tcW w:w="727" w:type="dxa"/>
            <w:noWrap w:val="0"/>
            <w:vAlign w:val="top"/>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高中物理</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2101004</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z w:val="20"/>
                <w:szCs w:val="20"/>
              </w:rPr>
            </w:pPr>
            <w:r>
              <w:rPr>
                <w:rFonts w:hint="eastAsia" w:ascii="仿宋_GB2312" w:eastAsia="仿宋_GB2312"/>
                <w:sz w:val="20"/>
                <w:szCs w:val="20"/>
              </w:rPr>
              <w:t>本科：物理学/应用物理学/声学/物理学教育/原子核物理学及核技术/核物理/光学/应用光学/光学工程</w:t>
            </w:r>
          </w:p>
          <w:p>
            <w:pPr>
              <w:spacing w:line="280" w:lineRule="exact"/>
              <w:rPr>
                <w:rFonts w:hint="eastAsia" w:ascii="仿宋_GB2312" w:eastAsia="仿宋_GB2312"/>
                <w:sz w:val="20"/>
                <w:szCs w:val="20"/>
              </w:rPr>
            </w:pPr>
            <w:r>
              <w:rPr>
                <w:rFonts w:hint="eastAsia" w:ascii="仿宋_GB2312" w:eastAsia="仿宋_GB2312"/>
                <w:sz w:val="20"/>
                <w:szCs w:val="20"/>
              </w:rPr>
              <w:t>研究生：理论物理/粒子物理与原子核物理/原子与分子物理/等离子体物理/凝聚态物理/声学/光学/光学工程/无线电物理</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具有相应</w:t>
            </w:r>
          </w:p>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教师资格证</w:t>
            </w:r>
          </w:p>
        </w:tc>
        <w:tc>
          <w:tcPr>
            <w:tcW w:w="727" w:type="dxa"/>
            <w:noWrap w:val="0"/>
            <w:vAlign w:val="top"/>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高中化学</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2101005</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z w:val="20"/>
                <w:szCs w:val="20"/>
              </w:rPr>
            </w:pPr>
            <w:r>
              <w:rPr>
                <w:rFonts w:hint="eastAsia" w:ascii="仿宋_GB2312" w:eastAsia="仿宋_GB2312"/>
                <w:sz w:val="20"/>
                <w:szCs w:val="20"/>
              </w:rPr>
              <w:t>本科：化学/应用化学/化学生物学/分子科学与工程/化学教育/放射化学</w:t>
            </w:r>
          </w:p>
          <w:p>
            <w:pPr>
              <w:spacing w:line="280" w:lineRule="exact"/>
              <w:rPr>
                <w:rFonts w:hint="eastAsia" w:ascii="仿宋_GB2312" w:eastAsia="仿宋_GB2312"/>
                <w:sz w:val="20"/>
                <w:szCs w:val="20"/>
              </w:rPr>
            </w:pPr>
            <w:r>
              <w:rPr>
                <w:rFonts w:hint="eastAsia" w:ascii="仿宋_GB2312" w:eastAsia="仿宋_GB2312"/>
                <w:sz w:val="20"/>
                <w:szCs w:val="20"/>
              </w:rPr>
              <w:t>研究生：化学/无机化学/分析化学/有机化学/物理化学/高分子化学与物理/化学生物学/化学信息</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具有相应</w:t>
            </w:r>
          </w:p>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教师资格证</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高中生物</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2101006</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pacing w:val="-6"/>
                <w:sz w:val="20"/>
                <w:szCs w:val="20"/>
              </w:rPr>
            </w:pPr>
            <w:r>
              <w:rPr>
                <w:rFonts w:hint="eastAsia" w:ascii="仿宋_GB2312" w:eastAsia="仿宋_GB2312"/>
                <w:sz w:val="20"/>
                <w:szCs w:val="20"/>
              </w:rPr>
              <w:t>本科：生</w:t>
            </w:r>
            <w:r>
              <w:rPr>
                <w:rFonts w:hint="eastAsia" w:ascii="仿宋_GB2312" w:eastAsia="仿宋_GB2312"/>
                <w:spacing w:val="-6"/>
                <w:sz w:val="20"/>
                <w:szCs w:val="20"/>
              </w:rPr>
              <w:t>物科学/生物技术/生物信息学/生物信息技术/生物科学与生物技术/生物化学与分子生物学/生物资源科学/生物安全/生态学</w:t>
            </w:r>
          </w:p>
          <w:p>
            <w:pPr>
              <w:spacing w:line="280" w:lineRule="exact"/>
              <w:rPr>
                <w:rFonts w:hint="eastAsia" w:ascii="仿宋_GB2312" w:eastAsia="仿宋_GB2312"/>
                <w:sz w:val="20"/>
                <w:szCs w:val="20"/>
              </w:rPr>
            </w:pPr>
            <w:r>
              <w:rPr>
                <w:rFonts w:hint="eastAsia" w:ascii="仿宋_GB2312" w:eastAsia="仿宋_GB2312"/>
                <w:sz w:val="20"/>
                <w:szCs w:val="20"/>
              </w:rPr>
              <w:t>研究生：植物学/动物学/生理学/水生生物学/微生物学/神经生物学/遗传学/发育生物学/细胞生物学/生物化学与分子生物学/生物物理学/生态学/生物学</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具有相应</w:t>
            </w:r>
          </w:p>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教师资格</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高中政治</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2101007</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z w:val="20"/>
                <w:szCs w:val="20"/>
              </w:rPr>
            </w:pPr>
            <w:r>
              <w:rPr>
                <w:rFonts w:hint="eastAsia" w:ascii="仿宋_GB2312" w:eastAsia="仿宋_GB2312"/>
                <w:sz w:val="20"/>
                <w:szCs w:val="20"/>
              </w:rPr>
              <w:t>本科：科学社会主义/中国共产党党史/中国共产党历史/思想政治教育/科学社会主义与国际共产主义运动/中国革命史与中国共产党党史</w:t>
            </w:r>
          </w:p>
          <w:p>
            <w:pPr>
              <w:spacing w:line="280" w:lineRule="exact"/>
              <w:rPr>
                <w:rFonts w:hint="eastAsia" w:ascii="仿宋_GB2312" w:eastAsia="仿宋_GB2312"/>
                <w:sz w:val="20"/>
                <w:szCs w:val="20"/>
              </w:rPr>
            </w:pPr>
            <w:r>
              <w:rPr>
                <w:rFonts w:hint="eastAsia" w:ascii="仿宋_GB2312" w:eastAsia="仿宋_GB2312"/>
                <w:sz w:val="20"/>
                <w:szCs w:val="20"/>
              </w:rPr>
              <w:t>研究生：马克思主义基本原理/马克思主义发展史/马克思主义中国化研究/马克思主义中国化/国外马克思主义研究/马克思主义理论与思想政治教育/马克思主义理论/思想政治教育/中国近现代史基本问题研究</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具有相应</w:t>
            </w:r>
          </w:p>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教师资格</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高中历史</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2101008</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pacing w:val="-6"/>
                <w:sz w:val="20"/>
                <w:szCs w:val="20"/>
              </w:rPr>
            </w:pPr>
            <w:r>
              <w:rPr>
                <w:rFonts w:hint="eastAsia" w:ascii="仿宋_GB2312" w:eastAsia="仿宋_GB2312"/>
                <w:sz w:val="20"/>
                <w:szCs w:val="20"/>
              </w:rPr>
              <w:t>本科：历</w:t>
            </w:r>
            <w:r>
              <w:rPr>
                <w:rFonts w:hint="eastAsia" w:ascii="仿宋_GB2312" w:eastAsia="仿宋_GB2312"/>
                <w:spacing w:val="-6"/>
                <w:sz w:val="20"/>
                <w:szCs w:val="20"/>
              </w:rPr>
              <w:t>史学/世界史/世界历史/国际关系史/外国语言与外国历史</w:t>
            </w:r>
          </w:p>
          <w:p>
            <w:pPr>
              <w:spacing w:line="280" w:lineRule="exact"/>
              <w:rPr>
                <w:rFonts w:hint="eastAsia" w:ascii="仿宋_GB2312" w:eastAsia="仿宋_GB2312"/>
                <w:sz w:val="20"/>
                <w:szCs w:val="20"/>
              </w:rPr>
            </w:pPr>
            <w:r>
              <w:rPr>
                <w:rFonts w:hint="eastAsia" w:ascii="仿宋_GB2312" w:eastAsia="仿宋_GB2312"/>
                <w:spacing w:val="-6"/>
                <w:sz w:val="20"/>
                <w:szCs w:val="20"/>
              </w:rPr>
              <w:t>研究生：中国近现代史基本问题研究/史学理论及史学史/历史地理学/历史文献学/专门史/中国古代史/中国近现代史/世界史/中国史</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具有相应</w:t>
            </w:r>
          </w:p>
          <w:p>
            <w:pPr>
              <w:spacing w:line="280" w:lineRule="exact"/>
              <w:jc w:val="center"/>
              <w:rPr>
                <w:rFonts w:hint="eastAsia" w:ascii="仿宋_GB2312" w:eastAsia="仿宋_GB2312"/>
                <w:kern w:val="0"/>
                <w:sz w:val="20"/>
                <w:szCs w:val="20"/>
              </w:rPr>
            </w:pPr>
            <w:r>
              <w:rPr>
                <w:rFonts w:hint="eastAsia" w:ascii="仿宋_GB2312" w:eastAsia="仿宋_GB2312"/>
                <w:kern w:val="0"/>
                <w:sz w:val="20"/>
                <w:szCs w:val="20"/>
              </w:rPr>
              <w:t>教师资格证</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高中地理</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2101009</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z w:val="20"/>
                <w:szCs w:val="20"/>
              </w:rPr>
            </w:pPr>
            <w:r>
              <w:rPr>
                <w:rFonts w:hint="eastAsia" w:ascii="仿宋_GB2312" w:eastAsia="仿宋_GB2312"/>
                <w:sz w:val="20"/>
                <w:szCs w:val="20"/>
              </w:rPr>
              <w:t>本科：地理科学/地理信息科学//地理信息系统/自然地理与资源环境/地理学/地理信息系统与地图学/地理学教育</w:t>
            </w:r>
          </w:p>
          <w:p>
            <w:pPr>
              <w:spacing w:line="280" w:lineRule="exact"/>
              <w:rPr>
                <w:rFonts w:hint="eastAsia" w:ascii="仿宋_GB2312" w:eastAsia="仿宋_GB2312"/>
                <w:sz w:val="20"/>
                <w:szCs w:val="20"/>
              </w:rPr>
            </w:pPr>
            <w:r>
              <w:rPr>
                <w:rFonts w:hint="eastAsia" w:ascii="仿宋_GB2312" w:eastAsia="仿宋_GB2312"/>
                <w:sz w:val="20"/>
                <w:szCs w:val="20"/>
              </w:rPr>
              <w:t>研究生：</w:t>
            </w:r>
            <w:r>
              <w:rPr>
                <w:rFonts w:hint="eastAsia" w:ascii="仿宋_GB2312" w:eastAsia="仿宋_GB2312"/>
                <w:spacing w:val="-10"/>
                <w:sz w:val="20"/>
                <w:szCs w:val="20"/>
              </w:rPr>
              <w:t>地理/地理学/自然地理学/人文地理学/地图学与地理信息系统</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具有相应</w:t>
            </w:r>
          </w:p>
          <w:p>
            <w:pPr>
              <w:spacing w:line="280" w:lineRule="exact"/>
              <w:jc w:val="center"/>
              <w:rPr>
                <w:rFonts w:hint="eastAsia" w:ascii="仿宋_GB2312" w:eastAsia="仿宋_GB2312"/>
                <w:sz w:val="20"/>
                <w:szCs w:val="20"/>
              </w:rPr>
            </w:pPr>
            <w:r>
              <w:rPr>
                <w:rFonts w:hint="eastAsia" w:ascii="仿宋_GB2312" w:eastAsia="仿宋_GB2312"/>
                <w:sz w:val="20"/>
                <w:szCs w:val="20"/>
              </w:rPr>
              <w:t>教师资格证</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高中体育</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2101010</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z w:val="20"/>
                <w:szCs w:val="20"/>
              </w:rPr>
            </w:pPr>
            <w:r>
              <w:rPr>
                <w:rFonts w:hint="eastAsia" w:ascii="仿宋_GB2312" w:eastAsia="仿宋_GB2312"/>
                <w:sz w:val="20"/>
                <w:szCs w:val="20"/>
              </w:rPr>
              <w:t>本科：体育教育/运动训练/社会体育/社会体育指导与管理/运动科学/武术与民族传统体育/运动人体科学/体育管理</w:t>
            </w:r>
          </w:p>
          <w:p>
            <w:pPr>
              <w:spacing w:line="280" w:lineRule="exact"/>
              <w:rPr>
                <w:rFonts w:hint="eastAsia" w:ascii="仿宋_GB2312" w:eastAsia="仿宋_GB2312"/>
                <w:sz w:val="20"/>
                <w:szCs w:val="20"/>
              </w:rPr>
            </w:pPr>
            <w:r>
              <w:rPr>
                <w:rFonts w:hint="eastAsia" w:ascii="仿宋_GB2312" w:eastAsia="仿宋_GB2312"/>
                <w:sz w:val="20"/>
                <w:szCs w:val="20"/>
              </w:rPr>
              <w:t>研究生：体育人文社会学/运动人体科学/体育教育训练学/民族传统体育学/体育硕士专业（体育教学、运动训练、竞赛组织、社会体育指导)</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具有相应</w:t>
            </w:r>
          </w:p>
          <w:p>
            <w:pPr>
              <w:spacing w:line="280" w:lineRule="exact"/>
              <w:jc w:val="center"/>
              <w:rPr>
                <w:rFonts w:hint="eastAsia" w:ascii="仿宋_GB2312" w:eastAsia="仿宋_GB2312"/>
                <w:sz w:val="20"/>
                <w:szCs w:val="20"/>
              </w:rPr>
            </w:pPr>
            <w:r>
              <w:rPr>
                <w:rFonts w:hint="eastAsia" w:ascii="仿宋_GB2312" w:eastAsia="仿宋_GB2312"/>
                <w:sz w:val="20"/>
                <w:szCs w:val="20"/>
              </w:rPr>
              <w:t>教师资格证</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高中音乐</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2101011</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pacing w:val="-6"/>
                <w:sz w:val="20"/>
                <w:szCs w:val="20"/>
              </w:rPr>
            </w:pPr>
            <w:r>
              <w:rPr>
                <w:rFonts w:hint="eastAsia" w:ascii="仿宋_GB2312" w:eastAsia="仿宋_GB2312"/>
                <w:sz w:val="20"/>
                <w:szCs w:val="20"/>
              </w:rPr>
              <w:t>本科：音</w:t>
            </w:r>
            <w:r>
              <w:rPr>
                <w:rFonts w:hint="eastAsia" w:ascii="仿宋_GB2312" w:eastAsia="仿宋_GB2312"/>
                <w:spacing w:val="-6"/>
                <w:sz w:val="20"/>
                <w:szCs w:val="20"/>
              </w:rPr>
              <w:t>乐学/音乐表演/舞蹈学/舞蹈表演/舞蹈编导/舞蹈教育</w:t>
            </w:r>
          </w:p>
          <w:p>
            <w:pPr>
              <w:spacing w:line="280" w:lineRule="exact"/>
              <w:rPr>
                <w:rFonts w:hint="eastAsia" w:ascii="仿宋_GB2312" w:eastAsia="仿宋_GB2312"/>
                <w:sz w:val="20"/>
                <w:szCs w:val="20"/>
              </w:rPr>
            </w:pPr>
            <w:r>
              <w:rPr>
                <w:rFonts w:hint="eastAsia" w:ascii="仿宋_GB2312" w:eastAsia="仿宋_GB2312"/>
                <w:spacing w:val="-6"/>
                <w:sz w:val="20"/>
                <w:szCs w:val="20"/>
              </w:rPr>
              <w:t>研究生：音乐学/舞蹈学/音乐与舞蹈学/ 艺术硕士专业（音乐，舞蹈）</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具有相应</w:t>
            </w:r>
          </w:p>
          <w:p>
            <w:pPr>
              <w:spacing w:line="280" w:lineRule="exact"/>
              <w:jc w:val="center"/>
              <w:rPr>
                <w:rFonts w:hint="eastAsia" w:ascii="仿宋_GB2312" w:eastAsia="仿宋_GB2312"/>
                <w:sz w:val="20"/>
                <w:szCs w:val="20"/>
              </w:rPr>
            </w:pPr>
            <w:r>
              <w:rPr>
                <w:rFonts w:hint="eastAsia" w:ascii="仿宋_GB2312" w:eastAsia="仿宋_GB2312"/>
                <w:sz w:val="20"/>
                <w:szCs w:val="20"/>
              </w:rPr>
              <w:t>教师资格证</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昭化区</w:t>
            </w:r>
          </w:p>
          <w:p>
            <w:pPr>
              <w:spacing w:line="280" w:lineRule="exact"/>
              <w:jc w:val="center"/>
              <w:rPr>
                <w:rFonts w:hint="eastAsia" w:ascii="仿宋_GB2312" w:eastAsia="仿宋_GB2312"/>
                <w:sz w:val="20"/>
                <w:szCs w:val="20"/>
              </w:rPr>
            </w:pPr>
            <w:r>
              <w:rPr>
                <w:rFonts w:hint="eastAsia" w:ascii="仿宋_GB2312" w:eastAsia="仿宋_GB2312"/>
                <w:sz w:val="20"/>
                <w:szCs w:val="20"/>
              </w:rPr>
              <w:t>教育局</w:t>
            </w:r>
          </w:p>
        </w:tc>
        <w:tc>
          <w:tcPr>
            <w:tcW w:w="114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四川省广元市元坝中学</w:t>
            </w:r>
          </w:p>
        </w:tc>
        <w:tc>
          <w:tcPr>
            <w:tcW w:w="871"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高中美术</w:t>
            </w:r>
          </w:p>
        </w:tc>
        <w:tc>
          <w:tcPr>
            <w:tcW w:w="702" w:type="dxa"/>
            <w:noWrap w:val="0"/>
            <w:vAlign w:val="center"/>
          </w:tcPr>
          <w:p>
            <w:pPr>
              <w:spacing w:line="280" w:lineRule="exact"/>
              <w:jc w:val="center"/>
              <w:rPr>
                <w:rFonts w:hint="eastAsia" w:ascii="仿宋_GB2312" w:eastAsia="仿宋_GB2312"/>
                <w:spacing w:val="-8"/>
                <w:sz w:val="20"/>
                <w:szCs w:val="20"/>
              </w:rPr>
            </w:pPr>
            <w:r>
              <w:rPr>
                <w:rFonts w:hint="eastAsia" w:ascii="仿宋_GB2312" w:eastAsia="仿宋_GB2312"/>
                <w:spacing w:val="-8"/>
                <w:sz w:val="20"/>
                <w:szCs w:val="20"/>
              </w:rPr>
              <w:t>2101012</w:t>
            </w:r>
          </w:p>
        </w:tc>
        <w:tc>
          <w:tcPr>
            <w:tcW w:w="527"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1</w:t>
            </w:r>
          </w:p>
        </w:tc>
        <w:tc>
          <w:tcPr>
            <w:tcW w:w="668"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本科及以上</w:t>
            </w:r>
          </w:p>
        </w:tc>
        <w:tc>
          <w:tcPr>
            <w:tcW w:w="5812" w:type="dxa"/>
            <w:noWrap w:val="0"/>
            <w:vAlign w:val="center"/>
          </w:tcPr>
          <w:p>
            <w:pPr>
              <w:spacing w:line="280" w:lineRule="exact"/>
              <w:rPr>
                <w:rFonts w:hint="eastAsia" w:ascii="仿宋_GB2312" w:eastAsia="仿宋_GB2312"/>
                <w:spacing w:val="-6"/>
                <w:sz w:val="20"/>
                <w:szCs w:val="20"/>
              </w:rPr>
            </w:pPr>
            <w:r>
              <w:rPr>
                <w:rFonts w:hint="eastAsia" w:ascii="仿宋_GB2312" w:eastAsia="仿宋_GB2312"/>
                <w:sz w:val="20"/>
                <w:szCs w:val="20"/>
              </w:rPr>
              <w:t>本科：绘</w:t>
            </w:r>
            <w:r>
              <w:rPr>
                <w:rFonts w:hint="eastAsia" w:ascii="仿宋_GB2312" w:eastAsia="仿宋_GB2312"/>
                <w:spacing w:val="-6"/>
                <w:sz w:val="20"/>
                <w:szCs w:val="20"/>
              </w:rPr>
              <w:t>画/雕塑/美术学/中国画/油画 /版画/壁画/中国画与书法/</w:t>
            </w:r>
          </w:p>
          <w:p>
            <w:pPr>
              <w:spacing w:line="280" w:lineRule="exact"/>
              <w:rPr>
                <w:rFonts w:hint="eastAsia" w:ascii="仿宋_GB2312" w:eastAsia="仿宋_GB2312"/>
                <w:sz w:val="20"/>
                <w:szCs w:val="20"/>
              </w:rPr>
            </w:pPr>
            <w:r>
              <w:rPr>
                <w:rFonts w:hint="eastAsia" w:ascii="仿宋_GB2312" w:eastAsia="仿宋_GB2312"/>
                <w:sz w:val="20"/>
                <w:szCs w:val="20"/>
              </w:rPr>
              <w:t>研究生：美术学/艺术硕士专业（美术）</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一级及</w:t>
            </w:r>
          </w:p>
          <w:p>
            <w:pPr>
              <w:spacing w:line="280" w:lineRule="exact"/>
              <w:jc w:val="center"/>
              <w:rPr>
                <w:rFonts w:hint="eastAsia" w:ascii="仿宋_GB2312" w:eastAsia="仿宋_GB2312"/>
                <w:sz w:val="20"/>
                <w:szCs w:val="20"/>
              </w:rPr>
            </w:pPr>
            <w:r>
              <w:rPr>
                <w:rFonts w:hint="eastAsia" w:ascii="仿宋_GB2312" w:eastAsia="仿宋_GB2312"/>
                <w:sz w:val="20"/>
                <w:szCs w:val="20"/>
              </w:rPr>
              <w:t>以上</w:t>
            </w:r>
          </w:p>
        </w:tc>
        <w:tc>
          <w:tcPr>
            <w:tcW w:w="1080" w:type="dxa"/>
            <w:noWrap w:val="0"/>
            <w:vAlign w:val="center"/>
          </w:tcPr>
          <w:p>
            <w:pPr>
              <w:spacing w:line="280" w:lineRule="exact"/>
              <w:jc w:val="center"/>
              <w:rPr>
                <w:rFonts w:hint="eastAsia" w:ascii="仿宋_GB2312" w:eastAsia="仿宋_GB2312"/>
                <w:sz w:val="20"/>
                <w:szCs w:val="20"/>
              </w:rPr>
            </w:pPr>
            <w:r>
              <w:rPr>
                <w:rFonts w:hint="eastAsia" w:ascii="仿宋_GB2312" w:eastAsia="仿宋_GB2312"/>
                <w:sz w:val="20"/>
                <w:szCs w:val="20"/>
              </w:rPr>
              <w:t>具有相应</w:t>
            </w:r>
          </w:p>
          <w:p>
            <w:pPr>
              <w:spacing w:line="280" w:lineRule="exact"/>
              <w:jc w:val="center"/>
              <w:rPr>
                <w:rFonts w:hint="eastAsia" w:ascii="仿宋_GB2312" w:eastAsia="仿宋_GB2312"/>
                <w:sz w:val="20"/>
                <w:szCs w:val="20"/>
              </w:rPr>
            </w:pPr>
            <w:r>
              <w:rPr>
                <w:rFonts w:hint="eastAsia" w:ascii="仿宋_GB2312" w:eastAsia="仿宋_GB2312"/>
                <w:sz w:val="20"/>
                <w:szCs w:val="20"/>
              </w:rPr>
              <w:t>教师资格证</w:t>
            </w:r>
          </w:p>
        </w:tc>
        <w:tc>
          <w:tcPr>
            <w:tcW w:w="727" w:type="dxa"/>
            <w:noWrap w:val="0"/>
            <w:vAlign w:val="center"/>
          </w:tcPr>
          <w:p>
            <w:pPr>
              <w:spacing w:line="280" w:lineRule="exact"/>
              <w:jc w:val="center"/>
              <w:rPr>
                <w:rFonts w:hint="eastAsia" w:ascii="仿宋_GB2312" w:eastAsia="仿宋_GB2312"/>
                <w:spacing w:val="-12"/>
                <w:sz w:val="20"/>
                <w:szCs w:val="20"/>
              </w:rPr>
            </w:pPr>
            <w:r>
              <w:rPr>
                <w:rFonts w:hint="eastAsia" w:ascii="仿宋_GB2312" w:eastAsia="仿宋_GB2312"/>
                <w:spacing w:val="-12"/>
                <w:sz w:val="20"/>
                <w:szCs w:val="20"/>
              </w:rPr>
              <w:t>45周岁及以下</w:t>
            </w:r>
          </w:p>
        </w:tc>
        <w:tc>
          <w:tcPr>
            <w:tcW w:w="523" w:type="dxa"/>
            <w:noWrap w:val="0"/>
            <w:vAlign w:val="center"/>
          </w:tcPr>
          <w:p>
            <w:pPr>
              <w:spacing w:line="280" w:lineRule="exact"/>
              <w:jc w:val="center"/>
              <w:rPr>
                <w:rFonts w:hint="eastAsia" w:ascii="仿宋_GB2312" w:eastAsia="仿宋_GB2312"/>
                <w:sz w:val="20"/>
                <w:szCs w:val="20"/>
              </w:rPr>
            </w:pPr>
          </w:p>
        </w:tc>
      </w:tr>
    </w:tbl>
    <w:p>
      <w:pPr>
        <w:spacing w:line="320" w:lineRule="exact"/>
      </w:pPr>
      <w:r>
        <w:rPr>
          <w:rFonts w:hint="eastAsia" w:ascii="仿宋_GB2312" w:eastAsia="仿宋_GB2312"/>
          <w:sz w:val="24"/>
        </w:rPr>
        <w:t>　</w:t>
      </w:r>
    </w:p>
    <w:p>
      <w:bookmarkStart w:id="0" w:name="_GoBack"/>
      <w:bookmarkEnd w:id="0"/>
    </w:p>
    <w:sectPr>
      <w:headerReference r:id="rId3" w:type="default"/>
      <w:footerReference r:id="rId4" w:type="default"/>
      <w:pgSz w:w="16838" w:h="11906" w:orient="landscape"/>
      <w:pgMar w:top="1797" w:right="1134" w:bottom="1797"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F2743"/>
    <w:rsid w:val="01C827B2"/>
    <w:rsid w:val="05352D72"/>
    <w:rsid w:val="159C4C1C"/>
    <w:rsid w:val="159F455A"/>
    <w:rsid w:val="17ED5E54"/>
    <w:rsid w:val="1F1B59B0"/>
    <w:rsid w:val="298D083B"/>
    <w:rsid w:val="31784F40"/>
    <w:rsid w:val="3C7226B0"/>
    <w:rsid w:val="3EDB7C42"/>
    <w:rsid w:val="50936C56"/>
    <w:rsid w:val="615F2743"/>
    <w:rsid w:val="70FE56CD"/>
    <w:rsid w:val="74CC68C7"/>
    <w:rsid w:val="766A06AE"/>
    <w:rsid w:val="77C1038D"/>
    <w:rsid w:val="7E71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uiPriority w:val="0"/>
    <w:rPr>
      <w:color w:val="000000"/>
      <w:u w:val="none"/>
    </w:rPr>
  </w:style>
  <w:style w:type="character" w:styleId="11">
    <w:name w:val="Emphasis"/>
    <w:basedOn w:val="7"/>
    <w:qFormat/>
    <w:uiPriority w:val="0"/>
  </w:style>
  <w:style w:type="character" w:styleId="12">
    <w:name w:val="HTML Definition"/>
    <w:basedOn w:val="7"/>
    <w:uiPriority w:val="0"/>
  </w:style>
  <w:style w:type="character" w:styleId="13">
    <w:name w:val="HTML Acronym"/>
    <w:basedOn w:val="7"/>
    <w:uiPriority w:val="0"/>
    <w:rPr>
      <w:bdr w:val="none" w:color="auto" w:sz="0" w:space="0"/>
    </w:rPr>
  </w:style>
  <w:style w:type="character" w:styleId="14">
    <w:name w:val="HTML Variable"/>
    <w:basedOn w:val="7"/>
    <w:uiPriority w:val="0"/>
  </w:style>
  <w:style w:type="character" w:styleId="15">
    <w:name w:val="Hyperlink"/>
    <w:basedOn w:val="7"/>
    <w:uiPriority w:val="0"/>
    <w:rPr>
      <w:color w:val="000000"/>
      <w:u w:val="none"/>
    </w:rPr>
  </w:style>
  <w:style w:type="character" w:styleId="16">
    <w:name w:val="HTML Code"/>
    <w:basedOn w:val="7"/>
    <w:uiPriority w:val="0"/>
    <w:rPr>
      <w:rFonts w:ascii="Courier New" w:hAnsi="Courier New"/>
      <w:sz w:val="20"/>
    </w:rPr>
  </w:style>
  <w:style w:type="character" w:styleId="17">
    <w:name w:val="HTML Cite"/>
    <w:basedOn w:val="7"/>
    <w:uiPriority w:val="0"/>
  </w:style>
  <w:style w:type="character" w:customStyle="1" w:styleId="18">
    <w:name w:val="last-child"/>
    <w:basedOn w:val="7"/>
    <w:uiPriority w:val="0"/>
  </w:style>
  <w:style w:type="character" w:customStyle="1" w:styleId="19">
    <w:name w:val="last-child1"/>
    <w:basedOn w:val="7"/>
    <w:uiPriority w:val="0"/>
    <w:rPr>
      <w:shd w:val="clear" w:fill="2C5771"/>
    </w:rPr>
  </w:style>
  <w:style w:type="character" w:customStyle="1" w:styleId="20">
    <w:name w:val="flick-block-text"/>
    <w:basedOn w:val="7"/>
    <w:uiPriority w:val="0"/>
  </w:style>
  <w:style w:type="character" w:customStyle="1" w:styleId="21">
    <w:name w:val="flick-block-text1"/>
    <w:basedOn w:val="7"/>
    <w:uiPriority w:val="0"/>
  </w:style>
  <w:style w:type="character" w:customStyle="1" w:styleId="22">
    <w:name w:val="flick-block-text2"/>
    <w:basedOn w:val="7"/>
    <w:uiPriority w:val="0"/>
    <w:rPr>
      <w:bdr w:val="none" w:color="auto" w:sz="0" w:space="0"/>
    </w:rPr>
  </w:style>
  <w:style w:type="character" w:customStyle="1" w:styleId="23">
    <w:name w:val="flick-block-text3"/>
    <w:basedOn w:val="7"/>
    <w:uiPriority w:val="0"/>
    <w:rPr>
      <w:bdr w:val="none" w:color="auto" w:sz="0" w:space="0"/>
    </w:rPr>
  </w:style>
  <w:style w:type="character" w:customStyle="1" w:styleId="24">
    <w:name w:val="blue3"/>
    <w:basedOn w:val="7"/>
    <w:uiPriority w:val="0"/>
    <w:rPr>
      <w:shd w:val="clear" w:fill="2C5771"/>
    </w:rPr>
  </w:style>
  <w:style w:type="character" w:customStyle="1" w:styleId="25">
    <w:name w:val="cpd"/>
    <w:basedOn w:val="7"/>
    <w:uiPriority w:val="0"/>
    <w:rPr>
      <w:bdr w:val="none" w:color="auto" w:sz="0" w:space="0"/>
    </w:rPr>
  </w:style>
  <w:style w:type="character" w:customStyle="1" w:styleId="26">
    <w:name w:val="count"/>
    <w:basedOn w:val="7"/>
    <w:uiPriority w:val="0"/>
  </w:style>
  <w:style w:type="character" w:customStyle="1" w:styleId="27">
    <w:name w:val="green4"/>
    <w:basedOn w:val="7"/>
    <w:uiPriority w:val="0"/>
    <w:rPr>
      <w:shd w:val="clear" w:fill="298395"/>
    </w:rPr>
  </w:style>
  <w:style w:type="character" w:customStyle="1" w:styleId="28">
    <w:name w:val="green5"/>
    <w:basedOn w:val="7"/>
    <w:uiPriority w:val="0"/>
    <w:rPr>
      <w:shd w:val="clear" w:fill="298395"/>
    </w:rPr>
  </w:style>
  <w:style w:type="character" w:customStyle="1" w:styleId="29">
    <w:name w:val="green6"/>
    <w:basedOn w:val="7"/>
    <w:uiPriority w:val="0"/>
    <w:rPr>
      <w:shd w:val="clear" w:fill="2C5771"/>
    </w:rPr>
  </w:style>
  <w:style w:type="character" w:customStyle="1" w:styleId="30">
    <w:name w:val="green7"/>
    <w:basedOn w:val="7"/>
    <w:uiPriority w:val="0"/>
    <w:rPr>
      <w:shd w:val="clear" w:fill="2C5771"/>
    </w:rPr>
  </w:style>
  <w:style w:type="character" w:customStyle="1" w:styleId="31">
    <w:name w:val="green8"/>
    <w:basedOn w:val="7"/>
    <w:uiPriority w:val="0"/>
    <w:rPr>
      <w:shd w:val="clear" w:fill="2C5771"/>
    </w:rPr>
  </w:style>
  <w:style w:type="character" w:customStyle="1" w:styleId="32">
    <w:name w:val="coffee"/>
    <w:basedOn w:val="7"/>
    <w:uiPriority w:val="0"/>
    <w:rPr>
      <w:shd w:val="clear" w:fill="BDA179"/>
    </w:rPr>
  </w:style>
  <w:style w:type="character" w:customStyle="1" w:styleId="33">
    <w:name w:val="disabled"/>
    <w:basedOn w:val="7"/>
    <w:uiPriority w:val="0"/>
    <w:rPr>
      <w:bdr w:val="none" w:color="auto" w:sz="0" w:space="0"/>
    </w:rPr>
  </w:style>
  <w:style w:type="character" w:customStyle="1" w:styleId="34">
    <w:name w:val="disabled1"/>
    <w:basedOn w:val="7"/>
    <w:uiPriority w:val="0"/>
    <w:rPr>
      <w:color w:val="DDDDDD"/>
      <w:bdr w:val="single" w:color="EEEEEE" w:sz="6" w:space="0"/>
    </w:rPr>
  </w:style>
  <w:style w:type="character" w:customStyle="1" w:styleId="35">
    <w:name w:val="hover66"/>
    <w:basedOn w:val="7"/>
    <w:uiPriority w:val="0"/>
    <w:rPr>
      <w:color w:val="FFFFFF"/>
      <w:shd w:val="clear" w:fill="FF7246"/>
    </w:rPr>
  </w:style>
  <w:style w:type="character" w:customStyle="1" w:styleId="36">
    <w:name w:val="current3"/>
    <w:basedOn w:val="7"/>
    <w:uiPriority w:val="0"/>
    <w:rPr>
      <w:b/>
      <w:bCs/>
      <w:color w:val="555555"/>
      <w:bdr w:val="none" w:color="auto" w:sz="0" w:space="0"/>
    </w:rPr>
  </w:style>
  <w:style w:type="character" w:customStyle="1" w:styleId="37">
    <w:name w:val="coffee2"/>
    <w:basedOn w:val="7"/>
    <w:uiPriority w:val="0"/>
    <w:rPr>
      <w:shd w:val="clear" w:fill="BDA179"/>
    </w:rPr>
  </w:style>
  <w:style w:type="character" w:customStyle="1" w:styleId="38">
    <w:name w:val="blue4"/>
    <w:basedOn w:val="7"/>
    <w:uiPriority w:val="0"/>
    <w:rPr>
      <w:shd w:val="clear" w:fill="2C5771"/>
    </w:rPr>
  </w:style>
  <w:style w:type="character" w:customStyle="1" w:styleId="39">
    <w:name w:val="blue5"/>
    <w:basedOn w:val="7"/>
    <w:uiPriority w:val="0"/>
    <w:rPr>
      <w:shd w:val="clear" w:fill="2C5771"/>
    </w:rPr>
  </w:style>
  <w:style w:type="character" w:customStyle="1" w:styleId="40">
    <w:name w:val="blue6"/>
    <w:basedOn w:val="7"/>
    <w:uiPriority w:val="0"/>
    <w:rPr>
      <w:shd w:val="clear" w:fill="2C5771"/>
    </w:rPr>
  </w:style>
  <w:style w:type="character" w:customStyle="1" w:styleId="41">
    <w:name w:val="blue2"/>
    <w:basedOn w:val="7"/>
    <w:uiPriority w:val="0"/>
    <w:rPr>
      <w:shd w:val="clear" w:fill="2C5771"/>
    </w:rPr>
  </w:style>
  <w:style w:type="character" w:customStyle="1" w:styleId="42">
    <w:name w:val="hover67"/>
    <w:basedOn w:val="7"/>
    <w:uiPriority w:val="0"/>
    <w:rPr>
      <w:color w:val="FFFFFF"/>
      <w:shd w:val="clear" w:fill="FF7246"/>
    </w:rPr>
  </w:style>
  <w:style w:type="character" w:customStyle="1" w:styleId="43">
    <w:name w:val="bds_more"/>
    <w:basedOn w:val="7"/>
    <w:uiPriority w:val="0"/>
    <w:rPr>
      <w:rFonts w:hint="eastAsia" w:ascii="宋体" w:hAnsi="宋体" w:eastAsia="宋体" w:cs="宋体"/>
      <w:bdr w:val="none" w:color="auto" w:sz="0" w:space="0"/>
    </w:rPr>
  </w:style>
  <w:style w:type="character" w:customStyle="1" w:styleId="44">
    <w:name w:val="bds_more1"/>
    <w:basedOn w:val="7"/>
    <w:uiPriority w:val="0"/>
    <w:rPr>
      <w:bdr w:val="none" w:color="auto" w:sz="0" w:space="0"/>
    </w:rPr>
  </w:style>
  <w:style w:type="character" w:customStyle="1" w:styleId="45">
    <w:name w:val="bds_more2"/>
    <w:basedOn w:val="7"/>
    <w:uiPriority w:val="0"/>
    <w:rPr>
      <w:bdr w:val="none" w:color="auto" w:sz="0" w:space="0"/>
    </w:rPr>
  </w:style>
  <w:style w:type="character" w:customStyle="1" w:styleId="46">
    <w:name w:val="first-child"/>
    <w:basedOn w:val="7"/>
    <w:uiPriority w:val="0"/>
    <w:rPr>
      <w:bdr w:val="none" w:color="auto" w:sz="0" w:space="0"/>
    </w:rPr>
  </w:style>
  <w:style w:type="character" w:customStyle="1" w:styleId="47">
    <w:name w:val="layui-layer-tabnow"/>
    <w:basedOn w:val="7"/>
    <w:uiPriority w:val="0"/>
    <w:rPr>
      <w:bdr w:val="single" w:color="CCCCCC" w:sz="6" w:space="0"/>
      <w:shd w:val="clear" w:fill="FFFFFF"/>
    </w:rPr>
  </w:style>
  <w:style w:type="character" w:customStyle="1" w:styleId="48">
    <w:name w:val="bds_nopic"/>
    <w:basedOn w:val="7"/>
    <w:uiPriority w:val="0"/>
  </w:style>
  <w:style w:type="character" w:customStyle="1" w:styleId="49">
    <w:name w:val="bds_nopic1"/>
    <w:basedOn w:val="7"/>
    <w:uiPriority w:val="0"/>
  </w:style>
  <w:style w:type="character" w:customStyle="1" w:styleId="50">
    <w:name w:val="bds_nopic2"/>
    <w:basedOn w:val="7"/>
    <w:uiPriority w:val="0"/>
  </w:style>
  <w:style w:type="character" w:customStyle="1" w:styleId="51">
    <w:name w:val="bds_more3"/>
    <w:basedOn w:val="7"/>
    <w:uiPriority w:val="0"/>
    <w:rPr>
      <w:rFonts w:hint="eastAsia" w:ascii="宋体" w:hAnsi="宋体" w:eastAsia="宋体" w:cs="宋体"/>
      <w:bdr w:val="none" w:color="auto" w:sz="0" w:space="0"/>
    </w:rPr>
  </w:style>
  <w:style w:type="character" w:customStyle="1" w:styleId="52">
    <w:name w:val="bds_more4"/>
    <w:basedOn w:val="7"/>
    <w:uiPriority w:val="0"/>
    <w:rPr>
      <w:bdr w:val="none" w:color="auto" w:sz="0" w:space="0"/>
    </w:rPr>
  </w:style>
  <w:style w:type="paragraph" w:customStyle="1" w:styleId="53">
    <w:name w:val="Normal (Web)"/>
    <w:basedOn w:val="1"/>
    <w:uiPriority w:val="0"/>
    <w:pPr>
      <w:jc w:val="left"/>
    </w:pPr>
    <w:rPr>
      <w:rFonts w:ascii="Calibri" w:hAnsi="Calibri" w:eastAsia="宋体"/>
      <w:kern w:val="0"/>
      <w:sz w:val="24"/>
    </w:rPr>
  </w:style>
  <w:style w:type="character" w:customStyle="1" w:styleId="54">
    <w:name w:val="hov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2021-07-06T01:43:00Z</dcterms:created>
  <dc:creator>qzuser</dc:creator>
  <cp:lastModifiedBy>qzuser</cp:lastModifiedBy>
  <dcterms:modified xsi:type="dcterms:W3CDTF">2021-07-06T03:24:59Z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919B33CAA78147DF98D89A658331ADFE</vt:lpwstr>
  </property>
</Properties>
</file>