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富民县引进银龄讲师管理办法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昆明市教育体育局关于做好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年度人才引进有关工作的通知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》（昆教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Cs w:val="32"/>
        </w:rPr>
        <w:t>的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指标</w:t>
      </w:r>
      <w:r>
        <w:rPr>
          <w:rFonts w:hint="eastAsia" w:ascii="仿宋_GB2312" w:hAnsi="仿宋_GB2312" w:eastAsia="仿宋_GB2312" w:cs="仿宋_GB2312"/>
          <w:szCs w:val="32"/>
        </w:rPr>
        <w:t>任务，我县</w:t>
      </w:r>
      <w:r>
        <w:rPr>
          <w:rFonts w:hint="default" w:ascii="Times New Roman" w:hAnsi="Times New Roman" w:eastAsia="仿宋_GB2312" w:cs="Times New Roman"/>
          <w:szCs w:val="32"/>
        </w:rPr>
        <w:t>20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Cs w:val="32"/>
        </w:rPr>
        <w:t>将面向全国引进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名优秀银龄讲师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。为</w:t>
      </w:r>
      <w:r>
        <w:rPr>
          <w:rFonts w:hint="eastAsia" w:ascii="仿宋_GB2312" w:hAnsi="仿宋_GB2312" w:eastAsia="仿宋_GB2312" w:cs="仿宋_GB2312"/>
          <w:szCs w:val="32"/>
        </w:rPr>
        <w:t>充分利用退休教师优势资源，调动优秀退休教师继续投身教育的积极性，规范引进讲师管理，特制定本办法。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第一条</w:t>
      </w:r>
      <w:r>
        <w:rPr>
          <w:rFonts w:hint="eastAsia" w:ascii="仿宋_GB2312" w:hAnsi="仿宋_GB2312" w:eastAsia="仿宋_GB2312" w:cs="仿宋_GB2312"/>
          <w:szCs w:val="32"/>
        </w:rPr>
        <w:t>银龄讲师实行合同管理，首聘一年，合同期满考核合格后，由双方协商决定续聘事宜。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银龄讲师聘用期间，纳入学校在职教师管理，遵守学校各项管理制度。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由学校和县教育体育局负责跟踪评估，对认真履职的兑现工作补贴，对贡献突出的给予一定奖励；对不按协议要求履行义务的，或因身体原因不适合继续讲学的，予以解聘。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第四条</w:t>
      </w:r>
      <w:r>
        <w:rPr>
          <w:rFonts w:hint="eastAsia" w:ascii="仿宋_GB2312" w:hAnsi="仿宋_GB2312" w:eastAsia="仿宋_GB2312" w:cs="仿宋_GB2312"/>
        </w:rPr>
        <w:t>根据</w:t>
      </w:r>
      <w:r>
        <w:rPr>
          <w:rFonts w:hint="eastAsia" w:ascii="仿宋_GB2312" w:hAnsi="仿宋_GB2312" w:eastAsia="仿宋_GB2312" w:cs="仿宋_GB2312"/>
          <w:szCs w:val="32"/>
        </w:rPr>
        <w:t>银龄讲师</w:t>
      </w:r>
      <w:r>
        <w:rPr>
          <w:rFonts w:hint="eastAsia" w:ascii="仿宋_GB2312" w:hAnsi="仿宋_GB2312" w:eastAsia="仿宋_GB2312" w:cs="仿宋_GB2312"/>
        </w:rPr>
        <w:t>本人研究特长和教育教学实际，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开展以课堂教学为主的讲学活动。每年开展全校性课堂教学活动不少于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b/>
          <w:color w:val="000000"/>
        </w:rPr>
        <w:t>第五条</w:t>
      </w:r>
      <w:r>
        <w:rPr>
          <w:rFonts w:hint="eastAsia" w:ascii="仿宋_GB2312" w:hAnsi="仿宋_GB2312" w:eastAsia="仿宋_GB2312" w:cs="仿宋_GB2312"/>
          <w:color w:val="000000"/>
        </w:rPr>
        <w:t>通过兼任教研员或特聘教研员的方式，参加县教科研信息中心组织的学科教研活动，加强对学科建设的指导，每年听课不少于</w:t>
      </w:r>
      <w:r>
        <w:rPr>
          <w:rFonts w:hint="default" w:ascii="Times New Roman" w:hAnsi="Times New Roman" w:eastAsia="仿宋_GB2312" w:cs="Times New Roman"/>
          <w:color w:val="000000"/>
        </w:rPr>
        <w:t>50</w:t>
      </w:r>
      <w:r>
        <w:rPr>
          <w:rFonts w:hint="eastAsia" w:ascii="仿宋_GB2312" w:hAnsi="仿宋_GB2312" w:eastAsia="仿宋_GB2312" w:cs="仿宋_GB2312"/>
          <w:color w:val="000000"/>
        </w:rPr>
        <w:t>节，上教研公开课不少于</w:t>
      </w:r>
      <w:r>
        <w:rPr>
          <w:rFonts w:hint="default" w:ascii="Times New Roman" w:hAnsi="Times New Roman" w:eastAsia="仿宋_GB2312" w:cs="Times New Roman"/>
          <w:color w:val="000000"/>
        </w:rPr>
        <w:t>10</w:t>
      </w:r>
      <w:r>
        <w:rPr>
          <w:rFonts w:hint="eastAsia" w:ascii="仿宋_GB2312" w:hAnsi="仿宋_GB2312" w:eastAsia="仿宋_GB2312" w:cs="仿宋_GB2312"/>
          <w:color w:val="000000"/>
        </w:rPr>
        <w:t>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Cs w:val="32"/>
        </w:rPr>
        <w:t>第六条</w:t>
      </w:r>
      <w:r>
        <w:rPr>
          <w:rFonts w:hint="eastAsia" w:ascii="仿宋_GB2312" w:hAnsi="仿宋_GB2312" w:eastAsia="仿宋_GB2312" w:cs="仿宋_GB2312"/>
          <w:szCs w:val="32"/>
        </w:rPr>
        <w:t>组建银龄讲师</w:t>
      </w:r>
      <w:r>
        <w:rPr>
          <w:rFonts w:hint="eastAsia" w:ascii="仿宋_GB2312" w:hAnsi="仿宋_GB2312" w:eastAsia="仿宋_GB2312" w:cs="仿宋_GB2312"/>
        </w:rPr>
        <w:t>工作室，</w:t>
      </w:r>
      <w:r>
        <w:rPr>
          <w:rFonts w:hint="eastAsia" w:ascii="仿宋_GB2312" w:hAnsi="仿宋_GB2312" w:eastAsia="仿宋_GB2312" w:cs="仿宋_GB2312"/>
          <w:szCs w:val="32"/>
        </w:rPr>
        <w:t>银龄讲师</w:t>
      </w:r>
      <w:r>
        <w:rPr>
          <w:rFonts w:hint="eastAsia" w:ascii="仿宋_GB2312" w:hAnsi="仿宋_GB2312" w:eastAsia="仿宋_GB2312" w:cs="仿宋_GB2312"/>
        </w:rPr>
        <w:t>为主持人，工作室</w:t>
      </w:r>
      <w:r>
        <w:rPr>
          <w:rFonts w:hint="default" w:ascii="Times New Roman" w:hAnsi="Times New Roman" w:eastAsia="仿宋_GB2312" w:cs="Times New Roman"/>
        </w:rPr>
        <w:t>5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default" w:ascii="Times New Roman" w:hAnsi="Times New Roman" w:eastAsia="仿宋_GB2312" w:cs="Times New Roman"/>
        </w:rPr>
        <w:t>10</w:t>
      </w:r>
      <w:r>
        <w:rPr>
          <w:rFonts w:hint="eastAsia" w:ascii="仿宋_GB2312" w:hAnsi="仿宋_GB2312" w:eastAsia="仿宋_GB2312" w:cs="仿宋_GB2312"/>
        </w:rPr>
        <w:t>名学员，学员在所在学校遴选，</w:t>
      </w:r>
      <w:r>
        <w:rPr>
          <w:rFonts w:hint="eastAsia" w:ascii="仿宋_GB2312" w:hAnsi="仿宋_GB2312" w:eastAsia="仿宋_GB2312" w:cs="仿宋_GB2312"/>
          <w:color w:val="000000"/>
        </w:rPr>
        <w:t>主要以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中青年骨干教师为主</w:t>
      </w:r>
      <w:r>
        <w:rPr>
          <w:rFonts w:hint="eastAsia" w:ascii="仿宋_GB2312" w:hAnsi="仿宋_GB2312" w:eastAsia="仿宋_GB2312" w:cs="仿宋_GB2312"/>
          <w:color w:val="000000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并</w:t>
      </w:r>
      <w:r>
        <w:rPr>
          <w:rFonts w:hint="eastAsia" w:ascii="仿宋_GB2312" w:hAnsi="仿宋_GB2312" w:eastAsia="仿宋_GB2312" w:cs="仿宋_GB2312"/>
        </w:rPr>
        <w:t>制定工作室的任期工作方案及年度工作计划。制定并落实阶段性工作重点，分析每一个成员的实际和特长，量身定做，分别制定指导方案并实施全程指导。具体包括：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指导学员制定个人成长发展目标和年度个人研修计划。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指导和督促学员每人每学年至少阅读一本理论专著，撰写有一定质量的学习心得，交流心得体会，并将相关内容传至Q群，让工作室全体学员共享。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指导学员每人每学年上教学示范课不少于</w:t>
      </w:r>
      <w:r>
        <w:rPr>
          <w:rFonts w:hint="default" w:ascii="Times New Roman" w:hAnsi="Times New Roman" w:eastAsia="仿宋_GB2312" w:cs="Times New Roman"/>
        </w:rPr>
        <w:t>2</w:t>
      </w:r>
      <w:r>
        <w:rPr>
          <w:rFonts w:hint="eastAsia" w:ascii="仿宋_GB2312" w:hAnsi="仿宋_GB2312" w:eastAsia="仿宋_GB2312" w:cs="仿宋_GB2312"/>
        </w:rPr>
        <w:t>节，教育教学专题讲座</w:t>
      </w:r>
      <w:r>
        <w:rPr>
          <w:rFonts w:hint="default" w:ascii="Times New Roman" w:hAnsi="Times New Roman" w:eastAsia="仿宋_GB2312" w:cs="Times New Roman"/>
        </w:rPr>
        <w:t>2</w:t>
      </w:r>
      <w:r>
        <w:rPr>
          <w:rFonts w:hint="eastAsia" w:ascii="仿宋_GB2312" w:hAnsi="仿宋_GB2312" w:eastAsia="仿宋_GB2312" w:cs="仿宋_GB2312"/>
        </w:rPr>
        <w:t>次，相互听课每学年不少于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eastAsia" w:ascii="仿宋_GB2312" w:hAnsi="仿宋_GB2312" w:eastAsia="仿宋_GB2312" w:cs="仿宋_GB2312"/>
        </w:rPr>
        <w:t>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指导学员每人每学年至少有</w:t>
      </w:r>
      <w:r>
        <w:rPr>
          <w:rFonts w:hint="default" w:ascii="Times New Roman" w:hAnsi="Times New Roman" w:eastAsia="仿宋_GB2312" w:cs="Times New Roman"/>
        </w:rPr>
        <w:t>1</w:t>
      </w:r>
      <w:r>
        <w:rPr>
          <w:rFonts w:hint="eastAsia" w:ascii="仿宋_GB2312" w:hAnsi="仿宋_GB2312" w:eastAsia="仿宋_GB2312" w:cs="仿宋_GB2312"/>
        </w:rPr>
        <w:t>篇本学科论文参加县级以上评选。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指导学员完成工作室规定的学习和研究任务，在每月例会上轮流主持交流。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指导学员做好个人专业成长记录，及时形成阶段性发展总结。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结合学员在每月例会上的阶段性学习汇报，组织具有一定规模的教育教学活动，指导学员在活动中展示，每学年为学员听课评课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eastAsia" w:ascii="仿宋_GB2312" w:hAnsi="仿宋_GB2312" w:eastAsia="仿宋_GB2312" w:cs="仿宋_GB2312"/>
        </w:rPr>
        <w:t>节以上。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</w:rPr>
        <w:t>8</w:t>
      </w:r>
      <w:r>
        <w:rPr>
          <w:rFonts w:hint="eastAsia" w:ascii="仿宋_GB2312" w:hAnsi="仿宋_GB2312" w:eastAsia="仿宋_GB2312" w:cs="仿宋_GB2312"/>
        </w:rPr>
        <w:t>.负责制定考核方案，并对学员进行考核，做出综合评价，形成书面意见，提交学校和县教育体育局备案。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第七条</w:t>
      </w:r>
      <w:r>
        <w:rPr>
          <w:rFonts w:hint="eastAsia" w:ascii="仿宋_GB2312" w:hAnsi="仿宋_GB2312" w:eastAsia="仿宋_GB2312" w:cs="仿宋_GB2312"/>
        </w:rPr>
        <w:t>每年为学校提供学科建设可行性报告</w:t>
      </w:r>
      <w:r>
        <w:rPr>
          <w:rFonts w:hint="default" w:ascii="Times New Roman" w:hAnsi="Times New Roman" w:eastAsia="仿宋_GB2312" w:cs="Times New Roman"/>
        </w:rPr>
        <w:t>1</w:t>
      </w:r>
      <w:r>
        <w:rPr>
          <w:rFonts w:hint="eastAsia" w:ascii="仿宋_GB2312" w:hAnsi="仿宋_GB2312" w:eastAsia="仿宋_GB2312" w:cs="仿宋_GB2312"/>
        </w:rPr>
        <w:t>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第八条</w:t>
      </w:r>
      <w:r>
        <w:rPr>
          <w:rFonts w:hint="eastAsia" w:ascii="仿宋_GB2312" w:hAnsi="仿宋_GB2312" w:eastAsia="仿宋_GB2312" w:cs="仿宋_GB2312"/>
        </w:rPr>
        <w:t>在聘期内，依据年度目标任务每年提交工作小结，聘期任满前，提交工作总结和报告。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第九条</w:t>
      </w:r>
      <w:r>
        <w:rPr>
          <w:rFonts w:hint="eastAsia" w:ascii="仿宋_GB2312" w:hAnsi="仿宋_GB2312" w:eastAsia="仿宋_GB2312" w:cs="仿宋_GB2312"/>
        </w:rPr>
        <w:t>本办法自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default" w:ascii="Times New Roman" w:hAnsi="Times New Roman" w:eastAsia="仿宋_GB2312" w:cs="Times New Roman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default" w:ascii="Times New Roman" w:hAnsi="Times New Roman" w:eastAsia="仿宋_GB2312" w:cs="Times New Roman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</w:rPr>
        <w:t>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第十条</w:t>
      </w:r>
      <w:r>
        <w:rPr>
          <w:rFonts w:hint="eastAsia" w:ascii="仿宋_GB2312" w:hAnsi="仿宋_GB2312" w:eastAsia="仿宋_GB2312" w:cs="仿宋_GB2312"/>
        </w:rPr>
        <w:t>最终解释权归富民县教育体育局。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eastAsia="zh-CN"/>
        </w:rPr>
        <w:t>富民县教育体育局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</w:rPr>
        <w:t xml:space="preserve">                           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both"/>
        <w:rPr>
          <w:rFonts w:hint="eastAsia"/>
        </w:rPr>
      </w:pPr>
    </w:p>
    <w:p>
      <w:pPr>
        <w:spacing w:line="560" w:lineRule="exact"/>
        <w:jc w:val="both"/>
        <w:rPr>
          <w:rFonts w:hint="eastAsia"/>
        </w:rPr>
      </w:pPr>
    </w:p>
    <w:p>
      <w:pPr>
        <w:spacing w:line="560" w:lineRule="exact"/>
        <w:jc w:val="both"/>
        <w:rPr>
          <w:rFonts w:hint="eastAsia"/>
        </w:rPr>
      </w:pPr>
    </w:p>
    <w:p>
      <w:pPr>
        <w:spacing w:line="560" w:lineRule="exact"/>
        <w:jc w:val="both"/>
        <w:rPr>
          <w:rFonts w:hint="eastAsia"/>
        </w:rPr>
      </w:pPr>
    </w:p>
    <w:p>
      <w:pPr>
        <w:spacing w:line="560" w:lineRule="exact"/>
        <w:jc w:val="both"/>
        <w:rPr>
          <w:rFonts w:hint="eastAsia"/>
        </w:rPr>
      </w:pPr>
    </w:p>
    <w:p>
      <w:pPr>
        <w:spacing w:line="560" w:lineRule="exact"/>
        <w:jc w:val="both"/>
        <w:rPr>
          <w:rFonts w:hint="eastAsia"/>
        </w:rPr>
      </w:pPr>
    </w:p>
    <w:p>
      <w:pPr>
        <w:spacing w:line="560" w:lineRule="exact"/>
        <w:jc w:val="both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6</w: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0EFA413E"/>
    <w:rsid w:val="0F8E4D38"/>
    <w:rsid w:val="1AFC1F27"/>
    <w:rsid w:val="1C2D749F"/>
    <w:rsid w:val="297F2738"/>
    <w:rsid w:val="2B1D62CA"/>
    <w:rsid w:val="32A7027F"/>
    <w:rsid w:val="3B942CD9"/>
    <w:rsid w:val="58546D23"/>
    <w:rsid w:val="596A50BB"/>
    <w:rsid w:val="7332571E"/>
    <w:rsid w:val="7ADA2CC7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bsharetext"/>
    <w:basedOn w:val="6"/>
    <w:uiPriority w:val="0"/>
  </w:style>
  <w:style w:type="character" w:customStyle="1" w:styleId="19">
    <w:name w:val="onljsm"/>
    <w:basedOn w:val="6"/>
    <w:uiPriority w:val="0"/>
    <w:rPr>
      <w:color w:val="FFFFFF"/>
      <w:shd w:val="clear" w:fill="087FD8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1D846207C43F4D858060CA6CE62B34C9</vt:lpwstr>
  </property>
</Properties>
</file>