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ind w:firstLine="880" w:firstLineChars="200"/>
        <w:jc w:val="center"/>
        <w:rPr>
          <w:rFonts w:ascii="华文中宋" w:hAnsi="华文中宋" w:eastAsia="华文中宋" w:cs="仿宋_GB2312"/>
          <w:sz w:val="44"/>
          <w:szCs w:val="44"/>
        </w:rPr>
      </w:pPr>
      <w:r>
        <w:rPr>
          <w:rFonts w:hint="eastAsia" w:ascii="华文中宋" w:hAnsi="华文中宋" w:eastAsia="华文中宋" w:cs="仿宋_GB2312"/>
          <w:sz w:val="44"/>
          <w:szCs w:val="44"/>
        </w:rPr>
        <w:t>重点师范院校和</w:t>
      </w:r>
      <w:r>
        <w:rPr>
          <w:rFonts w:ascii="华文中宋" w:hAnsi="华文中宋" w:eastAsia="华文中宋" w:cs="仿宋_GB2312"/>
          <w:sz w:val="44"/>
          <w:szCs w:val="44"/>
        </w:rPr>
        <w:t>医疗卫生</w:t>
      </w:r>
      <w:r>
        <w:rPr>
          <w:rFonts w:hint="eastAsia" w:ascii="华文中宋" w:hAnsi="华文中宋" w:eastAsia="华文中宋" w:cs="仿宋_GB2312"/>
          <w:sz w:val="44"/>
          <w:szCs w:val="44"/>
        </w:rPr>
        <w:t>院校名单</w:t>
      </w:r>
    </w:p>
    <w:p>
      <w:pPr>
        <w:spacing w:line="580" w:lineRule="exact"/>
        <w:ind w:firstLine="641"/>
        <w:rPr>
          <w:rFonts w:ascii="黑体" w:hAnsi="黑体" w:eastAsia="黑体"/>
          <w:b/>
          <w:sz w:val="32"/>
          <w:szCs w:val="32"/>
        </w:rPr>
      </w:pPr>
    </w:p>
    <w:p>
      <w:pPr>
        <w:spacing w:line="560" w:lineRule="exact"/>
        <w:ind w:firstLine="641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Fonts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全国重点师范院校名单</w:t>
      </w:r>
    </w:p>
    <w:p>
      <w:pPr>
        <w:spacing w:line="560" w:lineRule="exact"/>
        <w:ind w:firstLine="641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1.教育部直属师范院校(6所)</w:t>
      </w:r>
    </w:p>
    <w:p>
      <w:pPr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北京师范大学、东北师范大学、华东师范大学、华中师范大学、西南大学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原西南师范大学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和陕西师范大学。</w:t>
      </w:r>
    </w:p>
    <w:p>
      <w:pPr>
        <w:spacing w:line="560" w:lineRule="exact"/>
        <w:ind w:firstLine="641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2</w:t>
      </w:r>
      <w:r>
        <w:rPr>
          <w:rFonts w:ascii="仿宋_GB2312" w:hAnsi="黑体" w:eastAsia="仿宋_GB2312"/>
          <w:b/>
          <w:sz w:val="32"/>
          <w:szCs w:val="32"/>
        </w:rPr>
        <w:t>.</w:t>
      </w:r>
      <w:r>
        <w:rPr>
          <w:rFonts w:hint="eastAsia" w:ascii="仿宋_GB2312" w:hAnsi="黑体" w:eastAsia="仿宋_GB2312"/>
          <w:b/>
          <w:sz w:val="32"/>
          <w:szCs w:val="32"/>
        </w:rPr>
        <w:t>其他全国重点</w:t>
      </w:r>
      <w:r>
        <w:rPr>
          <w:rFonts w:ascii="仿宋_GB2312" w:hAnsi="黑体" w:eastAsia="仿宋_GB2312"/>
          <w:b/>
          <w:sz w:val="32"/>
          <w:szCs w:val="32"/>
        </w:rPr>
        <w:t>师范类高校（</w:t>
      </w:r>
      <w:r>
        <w:rPr>
          <w:rFonts w:hint="eastAsia" w:ascii="仿宋_GB2312" w:hAnsi="黑体" w:eastAsia="仿宋_GB2312"/>
          <w:b/>
          <w:sz w:val="32"/>
          <w:szCs w:val="32"/>
        </w:rPr>
        <w:t>含原“211”高校</w:t>
      </w:r>
      <w:r>
        <w:rPr>
          <w:rFonts w:ascii="仿宋_GB2312" w:hAnsi="黑体" w:eastAsia="仿宋_GB2312"/>
          <w:b/>
          <w:sz w:val="32"/>
          <w:szCs w:val="32"/>
        </w:rPr>
        <w:t>）</w:t>
      </w:r>
      <w:r>
        <w:rPr>
          <w:rFonts w:hint="eastAsia" w:ascii="仿宋_GB2312" w:hAnsi="黑体" w:eastAsia="仿宋_GB2312"/>
          <w:b/>
          <w:sz w:val="32"/>
          <w:szCs w:val="32"/>
        </w:rPr>
        <w:t>(6所)</w:t>
      </w:r>
    </w:p>
    <w:p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（1）原“211”高校(5所)：南京师范大学、华南师范大学、湖南师范大学、北京外国语大学、上海外国语大学</w:t>
      </w:r>
    </w:p>
    <w:p>
      <w:pPr>
        <w:spacing w:line="56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（2）一流学科建设高校(1所)：首都师范大学</w:t>
      </w:r>
    </w:p>
    <w:p>
      <w:pPr>
        <w:spacing w:line="560" w:lineRule="exact"/>
        <w:ind w:firstLine="641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</w:t>
      </w:r>
      <w:r>
        <w:rPr>
          <w:rFonts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省属重点师范院校：</w:t>
      </w:r>
      <w:r>
        <w:rPr>
          <w:rFonts w:hint="eastAsia" w:ascii="仿宋_GB2312" w:hAnsi="仿宋_GB2312" w:eastAsia="仿宋_GB2312" w:cs="仿宋_GB2312"/>
          <w:sz w:val="32"/>
          <w:szCs w:val="32"/>
        </w:rPr>
        <w:t>仅限于师范类专业硕士以上毕业生（其中福建师范大学、闽南师范大学可放宽到师范类优秀本科毕业生）。</w:t>
      </w:r>
    </w:p>
    <w:p>
      <w:pPr>
        <w:spacing w:line="560" w:lineRule="exact"/>
        <w:ind w:firstLine="641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</w:t>
      </w:r>
      <w:r>
        <w:rPr>
          <w:rFonts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重点医疗卫生院校名单</w:t>
      </w:r>
    </w:p>
    <w:p>
      <w:pPr>
        <w:spacing w:line="560" w:lineRule="exact"/>
        <w:ind w:firstLine="641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1.“双一流”医疗卫生院校（含原“985”“211”高校）</w:t>
      </w:r>
      <w:r>
        <w:rPr>
          <w:rFonts w:hint="eastAsia" w:ascii="仿宋_GB2312" w:hAnsi="黑体" w:eastAsia="仿宋_GB2312"/>
          <w:bCs/>
          <w:sz w:val="32"/>
          <w:szCs w:val="32"/>
        </w:rPr>
        <w:t>（具体名单以国家教育部公布为准</w:t>
      </w:r>
      <w:r>
        <w:rPr>
          <w:rFonts w:ascii="仿宋_GB2312" w:hAnsi="黑体" w:eastAsia="仿宋_GB2312"/>
          <w:bCs/>
          <w:sz w:val="32"/>
          <w:szCs w:val="32"/>
        </w:rPr>
        <w:t>）</w:t>
      </w:r>
    </w:p>
    <w:p>
      <w:pPr>
        <w:spacing w:line="560" w:lineRule="exact"/>
        <w:ind w:firstLine="641"/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w:t>2.</w:t>
      </w:r>
      <w:r>
        <w:rPr>
          <w:rFonts w:hint="eastAsia" w:ascii="仿宋_GB2312" w:hAnsi="黑体" w:eastAsia="仿宋_GB2312"/>
          <w:b/>
          <w:sz w:val="32"/>
          <w:szCs w:val="32"/>
        </w:rPr>
        <w:t>中国</w:t>
      </w:r>
      <w:r>
        <w:rPr>
          <w:rFonts w:ascii="仿宋_GB2312" w:hAnsi="黑体" w:eastAsia="仿宋_GB2312"/>
          <w:b/>
          <w:sz w:val="32"/>
          <w:szCs w:val="32"/>
        </w:rPr>
        <w:t>科学</w:t>
      </w:r>
      <w:r>
        <w:rPr>
          <w:rFonts w:hint="eastAsia" w:ascii="仿宋_GB2312" w:hAnsi="黑体" w:eastAsia="仿宋_GB2312"/>
          <w:b/>
          <w:sz w:val="32"/>
          <w:szCs w:val="32"/>
        </w:rPr>
        <w:t>院</w:t>
      </w:r>
      <w:r>
        <w:rPr>
          <w:rFonts w:ascii="仿宋_GB2312" w:hAnsi="黑体" w:eastAsia="仿宋_GB2312"/>
          <w:b/>
          <w:sz w:val="32"/>
          <w:szCs w:val="32"/>
        </w:rPr>
        <w:t>大学</w:t>
      </w:r>
    </w:p>
    <w:p>
      <w:pPr>
        <w:spacing w:line="560" w:lineRule="exact"/>
        <w:ind w:firstLine="64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w:t>3</w:t>
      </w:r>
      <w:r>
        <w:rPr>
          <w:rFonts w:hint="eastAsia" w:ascii="仿宋_GB2312" w:hAnsi="黑体" w:eastAsia="仿宋_GB2312"/>
          <w:b/>
          <w:sz w:val="32"/>
          <w:szCs w:val="32"/>
        </w:rPr>
        <w:t>.省属重点医学高等院校</w:t>
      </w:r>
      <w:r>
        <w:rPr>
          <w:rFonts w:hint="eastAsia" w:ascii="仿宋_GB2312" w:hAnsi="仿宋_GB2312" w:eastAsia="仿宋_GB2312" w:cs="仿宋_GB2312"/>
          <w:sz w:val="32"/>
          <w:szCs w:val="32"/>
        </w:rPr>
        <w:t>（须取得硕士研究生以上学历/学位，为校本部毕业生，其下属二级学院不列入，并取得执业医师资格证书和医师规范化培训合格证书）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D640C"/>
    <w:rsid w:val="038C46E5"/>
    <w:rsid w:val="2E245EE2"/>
    <w:rsid w:val="3B7D640C"/>
    <w:rsid w:val="51A10DC9"/>
    <w:rsid w:val="573D5FDD"/>
    <w:rsid w:val="5A4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2021-05-31T05:57:00Z</dcterms:created>
  <dc:creator>qzuser</dc:creator>
  <cp:lastModifiedBy>qzuser</cp:lastModifiedBy>
  <dcterms:modified xsi:type="dcterms:W3CDTF">2021-05-31T06:34:43Z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203142C175714224981E1E753A450CE1</vt:lpwstr>
  </property>
</Properties>
</file>