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rPr>
      </w:pPr>
      <w:r>
        <w:rPr>
          <w:rFonts w:hint="eastAsia" w:ascii="仿宋_GB2312" w:eastAsia="仿宋_GB2312"/>
          <w:sz w:val="32"/>
          <w:szCs w:val="32"/>
        </w:rPr>
        <w:t>附件2</w:t>
      </w:r>
    </w:p>
    <w:p>
      <w:pPr>
        <w:spacing w:line="500" w:lineRule="exact"/>
        <w:jc w:val="center"/>
        <w:rPr>
          <w:rFonts w:hint="eastAsia" w:ascii="方正小标宋简体" w:eastAsia="方正小标宋简体"/>
          <w:color w:val="000000"/>
          <w:sz w:val="40"/>
          <w:szCs w:val="44"/>
        </w:rPr>
      </w:pPr>
      <w:r>
        <w:rPr>
          <w:rFonts w:hint="eastAsia" w:ascii="方正小标宋简体" w:eastAsia="方正小标宋简体"/>
          <w:color w:val="000000"/>
          <w:sz w:val="40"/>
          <w:szCs w:val="44"/>
        </w:rPr>
        <w:t>2021年东昌府区教育事业单位引进</w:t>
      </w:r>
    </w:p>
    <w:p>
      <w:pPr>
        <w:spacing w:line="500" w:lineRule="exact"/>
        <w:jc w:val="center"/>
        <w:rPr>
          <w:rFonts w:hint="eastAsia" w:ascii="方正小标宋简体" w:eastAsia="方正小标宋简体"/>
          <w:color w:val="000000"/>
          <w:sz w:val="40"/>
          <w:szCs w:val="44"/>
        </w:rPr>
      </w:pPr>
      <w:r>
        <w:rPr>
          <w:rFonts w:hint="eastAsia" w:ascii="方正小标宋简体" w:eastAsia="方正小标宋简体"/>
          <w:color w:val="000000"/>
          <w:sz w:val="40"/>
          <w:szCs w:val="44"/>
        </w:rPr>
        <w:t>优秀青年人才应聘须知</w:t>
      </w:r>
    </w:p>
    <w:p>
      <w:pPr>
        <w:snapToGrid w:val="0"/>
        <w:spacing w:line="540" w:lineRule="exact"/>
        <w:ind w:firstLine="643" w:firstLineChars="200"/>
        <w:rPr>
          <w:rFonts w:hint="eastAsia" w:ascii="楷体_GB2312" w:eastAsia="楷体_GB2312"/>
          <w:b/>
          <w:sz w:val="32"/>
          <w:szCs w:val="20"/>
        </w:rPr>
      </w:pP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按照事业单位公开招聘的相关规定，凡符合《2021年东昌府区教育事业单位引进优秀青年人才</w:t>
      </w:r>
      <w:r>
        <w:rPr>
          <w:rFonts w:hint="eastAsia" w:ascii="仿宋_GB2312" w:eastAsia="仿宋_GB2312"/>
          <w:sz w:val="32"/>
          <w:szCs w:val="32"/>
          <w:lang w:eastAsia="zh-CN"/>
        </w:rPr>
        <w:t>简章</w:t>
      </w:r>
      <w:r>
        <w:rPr>
          <w:rFonts w:hint="eastAsia" w:ascii="仿宋_GB2312" w:eastAsia="仿宋_GB2312"/>
          <w:sz w:val="32"/>
          <w:szCs w:val="32"/>
        </w:rPr>
        <w:t>》（以下简称《</w:t>
      </w:r>
      <w:r>
        <w:rPr>
          <w:rFonts w:hint="eastAsia" w:ascii="仿宋_GB2312" w:eastAsia="仿宋_GB2312"/>
          <w:sz w:val="32"/>
          <w:szCs w:val="32"/>
          <w:lang w:eastAsia="zh-CN"/>
        </w:rPr>
        <w:t>简章</w:t>
      </w:r>
      <w:r>
        <w:rPr>
          <w:rFonts w:hint="eastAsia" w:ascii="仿宋_GB2312" w:eastAsia="仿宋_GB2312"/>
          <w:sz w:val="32"/>
          <w:szCs w:val="32"/>
        </w:rPr>
        <w:t>》）规定的条件及招聘岗位资格条件者，均可应聘。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2.“应届毕业生”如何界定？</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本次招聘中的“应届毕业生”，是指国内普通高等学校或承担研究生教育任务的科学研究机构中，由国家统一招生且就读期间个人档案保管在就读院校（或科研机构），并于2021年毕业的学生。</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3. 2019年、2020年普通高校毕业生是否能以应届毕业生的身份报考？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4.对学历学位及相关证书取得时间有什么要求？</w:t>
      </w:r>
    </w:p>
    <w:p>
      <w:pPr>
        <w:snapToGrid w:val="0"/>
        <w:spacing w:line="560" w:lineRule="exact"/>
        <w:ind w:firstLine="640" w:firstLineChars="200"/>
        <w:rPr>
          <w:rFonts w:hint="eastAsia" w:ascii="仿宋_GB2312" w:eastAsia="仿宋_GB2312"/>
          <w:sz w:val="32"/>
          <w:szCs w:val="32"/>
        </w:rPr>
      </w:pPr>
      <w:r>
        <w:rPr>
          <w:rFonts w:hint="eastAsia" w:ascii="仿宋_GB2312" w:hAnsi="微软雅黑" w:eastAsia="仿宋_GB2312"/>
          <w:sz w:val="32"/>
          <w:szCs w:val="32"/>
        </w:rPr>
        <w:t>2021年应届毕业生以及与国（境）内高校应届毕业生同期毕业的留学回国人员的学历、学位及相关证书，须在2021年7月31日前取得</w:t>
      </w:r>
      <w:r>
        <w:rPr>
          <w:rFonts w:hint="eastAsia" w:ascii="仿宋_GB2312" w:eastAsia="仿宋_GB2312"/>
          <w:sz w:val="32"/>
          <w:szCs w:val="32"/>
        </w:rPr>
        <w:t>。</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5.学历学位高于岗位要求的人员能否应聘？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学历学位高于岗位要求，专业条件符合岗位规定的可以应聘。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6.《引进高校名单》中所列院校是否包括分校？</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《引进高校名单》中所列院校不包括分校。</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7.非全日制研究生能否报名？</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根据《教育部办公厅等五部门关于进一步做好非全日制研究生就业工作的通知》（教研厅函〔2019〕1号）文件精神，自2017年起，由国家统一下达招生计划，考试招生执行相同政策和标准的非全日制研究生与全日制研究生</w:t>
      </w:r>
      <w:r>
        <w:rPr>
          <w:rFonts w:hint="eastAsia" w:ascii="仿宋_GB2312" w:eastAsia="仿宋_GB2312"/>
          <w:sz w:val="32"/>
          <w:szCs w:val="32"/>
        </w:rPr>
        <w:t>，</w:t>
      </w:r>
      <w:r>
        <w:rPr>
          <w:rFonts w:ascii="仿宋_GB2312" w:eastAsia="仿宋_GB2312"/>
          <w:sz w:val="32"/>
          <w:szCs w:val="32"/>
        </w:rPr>
        <w:t>学历学位证书具有同等效力。</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8.岗位汇总表中所要求的专业如何理解？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岗位汇总表中所要求的专业，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2021年国内普通高等学历教育的应届毕业生和同期毕业的留学回国人员，可依据于2021年7月31日前取得的普通高等学历教育和国（境）外留学学历（学位）及相应专业报考。</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9.应聘人员在网上提供的照片有什么要求？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应聘人员在网上报名时提供的照片，必须是1寸近期正面免冠证件照片，并且与进入面试后资格审查时所提供的照片同一底版。</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10.网上填写报名信息时应注意什么？</w:t>
      </w:r>
    </w:p>
    <w:p>
      <w:pPr>
        <w:spacing w:line="560" w:lineRule="exact"/>
        <w:ind w:firstLine="640" w:firstLineChars="200"/>
        <w:rPr>
          <w:rFonts w:eastAsia="仿宋_GB2312"/>
          <w:sz w:val="32"/>
          <w:szCs w:val="32"/>
        </w:rPr>
      </w:pPr>
      <w:r>
        <w:rPr>
          <w:rFonts w:eastAsia="仿宋_GB2312"/>
          <w:sz w:val="32"/>
          <w:szCs w:val="32"/>
        </w:rPr>
        <w:t>报名时，</w:t>
      </w:r>
      <w:r>
        <w:rPr>
          <w:rFonts w:hint="eastAsia" w:ascii="仿宋_GB2312" w:hAnsi="仿宋_GB2312" w:eastAsia="仿宋_GB2312" w:cs="仿宋_GB2312"/>
          <w:sz w:val="32"/>
          <w:szCs w:val="32"/>
        </w:rPr>
        <w:t>应聘人员要仔细阅读《简章》、招聘岗位要求及本须知内容</w:t>
      </w:r>
      <w:r>
        <w:rPr>
          <w:rFonts w:eastAsia="仿宋_GB2312"/>
          <w:sz w:val="32"/>
          <w:szCs w:val="32"/>
        </w:rPr>
        <w:t>，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ascii="仿宋_GB2312" w:eastAsia="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网上报名系统的表项中未能涵盖报考岗位所要求资格条件的，务必在“备注栏”中如实填写。家庭成员及其主要社会关系，必须填写姓名、工作单位及职务。学习经历必须从</w:t>
      </w:r>
      <w:r>
        <w:rPr>
          <w:rFonts w:hint="eastAsia" w:eastAsia="仿宋_GB2312"/>
          <w:sz w:val="32"/>
          <w:szCs w:val="32"/>
        </w:rPr>
        <w:t>初中</w:t>
      </w:r>
      <w:r>
        <w:rPr>
          <w:rFonts w:eastAsia="仿宋_GB2312"/>
          <w:sz w:val="32"/>
          <w:szCs w:val="32"/>
        </w:rPr>
        <w:t>阶段开始</w:t>
      </w:r>
      <w:r>
        <w:rPr>
          <w:rFonts w:hint="eastAsia" w:eastAsia="仿宋_GB2312"/>
          <w:sz w:val="32"/>
          <w:szCs w:val="32"/>
        </w:rPr>
        <w:t>如实</w:t>
      </w:r>
      <w:r>
        <w:rPr>
          <w:rFonts w:eastAsia="仿宋_GB2312"/>
          <w:sz w:val="32"/>
          <w:szCs w:val="32"/>
        </w:rPr>
        <w:t>填写</w:t>
      </w:r>
      <w:r>
        <w:rPr>
          <w:rFonts w:hint="eastAsia" w:eastAsia="仿宋_GB2312"/>
          <w:sz w:val="32"/>
          <w:szCs w:val="32"/>
        </w:rPr>
        <w:t>,</w:t>
      </w:r>
      <w:r>
        <w:rPr>
          <w:rFonts w:hint="eastAsia" w:ascii="仿宋_GB2312" w:eastAsia="仿宋_GB2312"/>
          <w:sz w:val="32"/>
          <w:szCs w:val="32"/>
        </w:rPr>
        <w:t>到2021年5月21日止。简历内容必须真实、准确、连贯、完整。</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11.本次招聘中的有效身份证件指的是什么？</w:t>
      </w:r>
    </w:p>
    <w:p>
      <w:pPr>
        <w:spacing w:line="560" w:lineRule="exact"/>
        <w:ind w:firstLine="640" w:firstLineChars="200"/>
        <w:rPr>
          <w:rFonts w:eastAsia="楷体_GB2312"/>
          <w:b/>
          <w:sz w:val="32"/>
          <w:szCs w:val="32"/>
        </w:rPr>
      </w:pPr>
      <w:r>
        <w:rPr>
          <w:rFonts w:ascii="仿宋_GB2312" w:hAnsi="仿宋_GB2312" w:eastAsia="仿宋_GB2312" w:cs="仿宋_GB2312"/>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pStyle w:val="12"/>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12.应聘人员是否可以改报其他岗位？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聘人员在网上初审前可更改报考岗位。没有通过网上初审的应聘人员，在报名时间截止前可改报其他岗位，但系统自动禁止该应聘人员再次报考曾被拒绝的岗位。通过网上初审的应聘人员，系统自动禁止该应聘人员改报其他岗位。</w:t>
      </w:r>
    </w:p>
    <w:p>
      <w:pPr>
        <w:pStyle w:val="13"/>
        <w:spacing w:line="560" w:lineRule="exact"/>
        <w:ind w:firstLine="643" w:firstLineChars="200"/>
        <w:rPr>
          <w:rFonts w:ascii="Times New Roman" w:eastAsia="楷体_GB2312"/>
          <w:b/>
          <w:sz w:val="32"/>
          <w:szCs w:val="32"/>
        </w:rPr>
      </w:pPr>
      <w:r>
        <w:rPr>
          <w:rFonts w:hint="eastAsia" w:ascii="仿宋_GB2312" w:hAnsi="仿宋_GB2312" w:eastAsia="仿宋_GB2312" w:cs="仿宋_GB2312"/>
          <w:b/>
          <w:sz w:val="32"/>
          <w:szCs w:val="32"/>
        </w:rPr>
        <w:t>13.</w:t>
      </w:r>
      <w:r>
        <w:rPr>
          <w:rFonts w:hint="eastAsia" w:ascii="Times New Roman" w:eastAsia="楷体_GB2312"/>
          <w:b/>
          <w:sz w:val="32"/>
          <w:szCs w:val="32"/>
        </w:rPr>
        <w:t>报考人员提交报名信息2小时后，登录网站发现报名信息仍为“未审核”状态是什么原因？</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14.每天报名情况如何查询？</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每天报名情况在东昌府区人民政府网站公布。</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15</w:t>
      </w:r>
      <w:r>
        <w:rPr>
          <w:rFonts w:ascii="Times New Roman" w:eastAsia="楷体_GB2312"/>
          <w:b/>
          <w:sz w:val="32"/>
          <w:szCs w:val="32"/>
        </w:rPr>
        <w:t>.违纪违规及存在不诚信情形的应聘人员如何处理？</w:t>
      </w:r>
    </w:p>
    <w:p>
      <w:pPr>
        <w:autoSpaceDE w:val="0"/>
        <w:autoSpaceDN w:val="0"/>
        <w:adjustRightInd w:val="0"/>
        <w:snapToGrid w:val="0"/>
        <w:spacing w:line="560" w:lineRule="exact"/>
        <w:ind w:firstLine="640" w:firstLineChars="200"/>
        <w:rPr>
          <w:rFonts w:eastAsia="仿宋_GB2312"/>
          <w:sz w:val="32"/>
          <w:szCs w:val="32"/>
        </w:rPr>
      </w:pPr>
      <w:r>
        <w:rPr>
          <w:rFonts w:eastAsia="仿宋_GB2312"/>
          <w:kern w:val="0"/>
          <w:sz w:val="32"/>
          <w:szCs w:val="32"/>
        </w:rPr>
        <w:t>应聘人员要严格遵守公开招聘的相关政策规定，遵从事业单位公开招聘主管机关和</w:t>
      </w:r>
      <w:r>
        <w:rPr>
          <w:rFonts w:hint="eastAsia" w:eastAsia="仿宋_GB2312"/>
          <w:kern w:val="0"/>
          <w:sz w:val="32"/>
          <w:szCs w:val="32"/>
        </w:rPr>
        <w:t>引进</w:t>
      </w:r>
      <w:r>
        <w:rPr>
          <w:rFonts w:eastAsia="仿宋_GB2312"/>
          <w:kern w:val="0"/>
          <w:sz w:val="32"/>
          <w:szCs w:val="32"/>
        </w:rPr>
        <w:t>单位</w:t>
      </w:r>
      <w:r>
        <w:rPr>
          <w:rFonts w:hint="eastAsia" w:eastAsia="仿宋_GB2312"/>
          <w:kern w:val="0"/>
          <w:sz w:val="32"/>
          <w:szCs w:val="32"/>
        </w:rPr>
        <w:t>主管部门</w:t>
      </w:r>
      <w:r>
        <w:rPr>
          <w:rFonts w:eastAsia="仿宋_GB2312"/>
          <w:kern w:val="0"/>
          <w:sz w:val="32"/>
          <w:szCs w:val="32"/>
        </w:rPr>
        <w:t>的统一安排，其在应聘期间的表现，将作为公开招聘考察的重要内容之一。</w:t>
      </w:r>
      <w:r>
        <w:rPr>
          <w:rFonts w:eastAsia="仿宋_GB2312"/>
          <w:sz w:val="32"/>
          <w:szCs w:val="32"/>
        </w:rPr>
        <w:t>对违反公开招聘纪律的应聘人员，按照《事业单位公开招聘违纪违规行为处理规定》（中华人民共和国人力资源和社会保障部令</w:t>
      </w:r>
      <w:r>
        <w:rPr>
          <w:rFonts w:hint="eastAsia" w:ascii="仿宋_GB2312" w:hAnsi="仿宋_GB2312" w:eastAsia="仿宋_GB2312" w:cs="仿宋_GB2312"/>
          <w:sz w:val="32"/>
          <w:szCs w:val="32"/>
        </w:rPr>
        <w:t>第35号</w:t>
      </w:r>
      <w:r>
        <w:rPr>
          <w:rFonts w:eastAsia="仿宋_GB2312"/>
          <w:sz w:val="32"/>
          <w:szCs w:val="32"/>
        </w:rPr>
        <w:t>）处理，对</w:t>
      </w:r>
      <w:r>
        <w:rPr>
          <w:rFonts w:hint="eastAsia" w:eastAsia="仿宋_GB2312"/>
          <w:sz w:val="32"/>
          <w:szCs w:val="32"/>
        </w:rPr>
        <w:t>引进</w:t>
      </w:r>
      <w:r>
        <w:rPr>
          <w:rFonts w:eastAsia="仿宋_GB2312"/>
          <w:sz w:val="32"/>
          <w:szCs w:val="32"/>
        </w:rPr>
        <w:t>工作中存在不诚信情形的应聘人员，纳入事业单位公开招聘违纪违规与诚信档案库。</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16.拟聘用人员名单公示后提出放弃的如何处理？</w:t>
      </w:r>
    </w:p>
    <w:p>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对公示后放弃聘用资格的应聘人员，将由区事业单位公开招聘主管机关记入全区事业单位公开招聘违纪违规与诚信档案库。</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17.</w:t>
      </w:r>
      <w:r>
        <w:rPr>
          <w:rFonts w:ascii="Times New Roman" w:eastAsia="楷体_GB2312"/>
          <w:b/>
          <w:sz w:val="32"/>
          <w:szCs w:val="32"/>
        </w:rPr>
        <w:t>是否有指定的考试辅导书和培训班？</w:t>
      </w:r>
    </w:p>
    <w:p>
      <w:pPr>
        <w:snapToGrid w:val="0"/>
        <w:spacing w:line="560" w:lineRule="exact"/>
        <w:ind w:firstLine="640" w:firstLineChars="200"/>
        <w:rPr>
          <w:rFonts w:ascii="楷体_GB2312" w:eastAsia="楷体_GB2312"/>
          <w:b/>
          <w:sz w:val="32"/>
          <w:szCs w:val="20"/>
        </w:rPr>
      </w:pPr>
      <w:r>
        <w:rPr>
          <w:rFonts w:hint="eastAsia" w:ascii="仿宋_GB2312" w:hAnsi="仿宋" w:eastAsia="仿宋_GB2312" w:cs="仿宋"/>
          <w:bCs/>
          <w:color w:val="000000"/>
          <w:sz w:val="32"/>
          <w:szCs w:val="32"/>
        </w:rPr>
        <w:t>2021年东昌府区教育事业单位引进优秀青年人才</w:t>
      </w:r>
      <w:r>
        <w:rPr>
          <w:rFonts w:eastAsia="仿宋_GB2312"/>
          <w:sz w:val="32"/>
          <w:szCs w:val="32"/>
        </w:rPr>
        <w:t>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18.应聘人员还需注意哪些问题？</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网上报名期间，符合条件的应聘人员应在报名时间内尽早填报、修改个人信息资料；在审核时间内及时查询初审结果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避免出现因本人未及时报名、未及时补充信息等问题耽误报考。整个招聘工作期间，应聘人员要及时了解招聘网站发布的最新信息，并保持电话畅通（如有联系方式变动，请及时通知招聘单位），以免错过重要信息而影响资格审查、面试、考察体检及聘用。</w:t>
      </w:r>
      <w:r>
        <w:rPr>
          <w:rFonts w:hint="eastAsia" w:ascii="仿宋_GB2312" w:eastAsia="仿宋_GB2312"/>
          <w:sz w:val="32"/>
          <w:szCs w:val="32"/>
        </w:rPr>
        <w:t>因本人原因错过重要信息而影响考试、聘用的，责任自负。</w:t>
      </w:r>
    </w:p>
    <w:p>
      <w:pPr>
        <w:pStyle w:val="13"/>
        <w:spacing w:line="560" w:lineRule="exact"/>
        <w:ind w:firstLine="643" w:firstLineChars="200"/>
        <w:rPr>
          <w:rFonts w:ascii="Times New Roman" w:eastAsia="楷体_GB2312"/>
          <w:b/>
          <w:sz w:val="32"/>
          <w:szCs w:val="32"/>
        </w:rPr>
      </w:pPr>
      <w:r>
        <w:rPr>
          <w:rFonts w:hint="eastAsia" w:ascii="Times New Roman" w:eastAsia="楷体_GB2312"/>
          <w:b/>
          <w:sz w:val="32"/>
          <w:szCs w:val="32"/>
        </w:rPr>
        <w:t>19.应聘人员现场资格时需提交哪些证明材料？</w:t>
      </w:r>
    </w:p>
    <w:p>
      <w:pPr>
        <w:pStyle w:val="14"/>
        <w:spacing w:line="560" w:lineRule="exact"/>
        <w:ind w:firstLine="640" w:firstLineChars="200"/>
        <w:rPr>
          <w:rFonts w:ascii="仿宋_GB2312" w:eastAsia="仿宋_GB2312"/>
          <w:sz w:val="32"/>
          <w:szCs w:val="32"/>
        </w:rPr>
      </w:pPr>
      <w:r>
        <w:rPr>
          <w:rFonts w:hint="eastAsia" w:ascii="仿宋_GB2312" w:eastAsia="仿宋_GB2312"/>
          <w:sz w:val="32"/>
          <w:szCs w:val="32"/>
        </w:rPr>
        <w:t>应聘人员在现场资格审查时，需在规定的时间，按招聘岗位要求，提交1寸近期彩色同底版免冠证件照片3张（须与网上报名的照片同一底版）和相关材料（</w:t>
      </w:r>
      <w:r>
        <w:rPr>
          <w:rFonts w:hint="eastAsia" w:ascii="仿宋_GB2312" w:eastAsia="仿宋_GB2312"/>
          <w:bCs/>
          <w:sz w:val="32"/>
          <w:szCs w:val="32"/>
        </w:rPr>
        <w:t>原件及复印件</w:t>
      </w:r>
      <w:r>
        <w:rPr>
          <w:rFonts w:hint="eastAsia" w:ascii="仿宋_GB2312" w:eastAsia="仿宋_GB2312"/>
          <w:sz w:val="32"/>
          <w:szCs w:val="32"/>
        </w:rPr>
        <w:t>）。相关材料主要有：</w:t>
      </w:r>
    </w:p>
    <w:p>
      <w:pPr>
        <w:adjustRightInd w:val="0"/>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eastAsia="仿宋_GB2312"/>
          <w:sz w:val="32"/>
          <w:szCs w:val="32"/>
        </w:rPr>
        <w:t>（1）</w:t>
      </w: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2021年东昌府区教育事业单位引进优秀青年人才</w:t>
      </w:r>
      <w:r>
        <w:rPr>
          <w:rFonts w:hint="eastAsia" w:ascii="仿宋_GB2312" w:eastAsia="仿宋_GB2312"/>
          <w:sz w:val="32"/>
          <w:szCs w:val="32"/>
          <w:lang w:val="zh-CN"/>
        </w:rPr>
        <w:t>报</w:t>
      </w:r>
      <w:r>
        <w:rPr>
          <w:rFonts w:hint="eastAsia" w:ascii="仿宋_GB2312" w:hAnsi="宋体" w:eastAsia="仿宋_GB2312" w:cs="宋体"/>
          <w:kern w:val="0"/>
          <w:sz w:val="32"/>
          <w:szCs w:val="32"/>
          <w:lang w:val="zh-CN"/>
        </w:rPr>
        <w:t>名登记表》；</w:t>
      </w:r>
    </w:p>
    <w:p>
      <w:pPr>
        <w:adjustRightInd w:val="0"/>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eastAsia="仿宋_GB2312"/>
          <w:sz w:val="32"/>
          <w:szCs w:val="32"/>
        </w:rPr>
        <w:t>（2）</w:t>
      </w:r>
      <w:r>
        <w:rPr>
          <w:rFonts w:hint="eastAsia" w:ascii="仿宋_GB2312" w:hAnsi="宋体" w:eastAsia="仿宋_GB2312" w:cs="宋体"/>
          <w:kern w:val="0"/>
          <w:sz w:val="32"/>
          <w:szCs w:val="32"/>
          <w:lang w:val="zh-CN"/>
        </w:rPr>
        <w:t>《诚信承诺书》；</w:t>
      </w:r>
    </w:p>
    <w:p>
      <w:pPr>
        <w:adjustRightInd w:val="0"/>
        <w:snapToGrid w:val="0"/>
        <w:spacing w:line="560" w:lineRule="exact"/>
        <w:ind w:firstLine="640" w:firstLineChars="200"/>
        <w:rPr>
          <w:rFonts w:hint="eastAsia" w:ascii="仿宋_GB2312" w:hAnsi="仿宋_GB2312" w:eastAsia="仿宋_GB2312" w:cs="仿宋_GB2312"/>
          <w:color w:val="333333"/>
          <w:spacing w:val="15"/>
          <w:sz w:val="32"/>
          <w:szCs w:val="32"/>
          <w:shd w:val="clear" w:color="auto" w:fill="FFFFFF"/>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zh-CN"/>
        </w:rPr>
        <w:t>）</w:t>
      </w:r>
      <w:r>
        <w:rPr>
          <w:rFonts w:hint="eastAsia" w:ascii="仿宋_GB2312" w:eastAsia="仿宋_GB2312"/>
          <w:sz w:val="32"/>
          <w:szCs w:val="32"/>
        </w:rPr>
        <w:t>国家承认的学历毕业证、学位证、报到证、身份证、</w:t>
      </w:r>
      <w:r>
        <w:rPr>
          <w:rFonts w:hint="eastAsia" w:ascii="仿宋_GB2312" w:hAnsi="仿宋_GB2312" w:eastAsia="仿宋_GB2312" w:cs="仿宋_GB2312"/>
          <w:color w:val="333333"/>
          <w:spacing w:val="15"/>
          <w:sz w:val="32"/>
          <w:szCs w:val="32"/>
          <w:shd w:val="clear" w:color="auto" w:fill="FFFFFF"/>
        </w:rPr>
        <w:t>中国高等教育学生信息网验证期内的《教育部学历证书电子注册备案表》、学位查询结果；教师资格证书、中国教师资格网教师资格证“证书信息”网页截图；</w:t>
      </w:r>
    </w:p>
    <w:p>
      <w:pPr>
        <w:adjustRightInd w:val="0"/>
        <w:snapToGrid w:val="0"/>
        <w:spacing w:line="560" w:lineRule="exact"/>
        <w:ind w:firstLine="640" w:firstLineChars="200"/>
        <w:rPr>
          <w:rFonts w:ascii="仿宋_GB2312" w:hAnsi="仿宋_GB2312" w:eastAsia="仿宋_GB2312" w:cs="仿宋_GB2312"/>
          <w:color w:val="333333"/>
          <w:spacing w:val="15"/>
          <w:sz w:val="32"/>
          <w:szCs w:val="32"/>
          <w:shd w:val="clear" w:color="auto" w:fill="FFFFFF"/>
          <w:lang w:val="zh-CN"/>
        </w:rPr>
      </w:pPr>
      <w:r>
        <w:rPr>
          <w:rFonts w:hint="eastAsia" w:ascii="仿宋_GB2312" w:eastAsia="仿宋_GB2312"/>
          <w:sz w:val="32"/>
          <w:szCs w:val="32"/>
        </w:rPr>
        <w:t>（4）</w:t>
      </w:r>
      <w:r>
        <w:rPr>
          <w:rFonts w:hint="eastAsia" w:ascii="仿宋_GB2312" w:hAnsi="仿宋_GB2312" w:eastAsia="仿宋_GB2312" w:cs="仿宋_GB2312"/>
          <w:sz w:val="32"/>
          <w:szCs w:val="32"/>
        </w:rPr>
        <w:t>留学回国人员应聘的，除需提供《简章》中规定的相关材料外，还要出具国家教育部门的学历学位认证材料。应聘人员可登录教育部留学服务中心网站查询认证的有关要求和程序；</w:t>
      </w:r>
      <w:r>
        <w:rPr>
          <w:rFonts w:hint="eastAsia" w:ascii="仿宋_GB2312" w:hAnsi="仿宋_GB2312" w:eastAsia="仿宋_GB2312" w:cs="仿宋_GB2312"/>
          <w:sz w:val="32"/>
          <w:szCs w:val="32"/>
          <w:lang w:val="zh-CN"/>
        </w:rPr>
        <w:t>《容缺报名个人承诺书》（如需提供的）。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（5）</w:t>
      </w:r>
      <w:r>
        <w:rPr>
          <w:rFonts w:hint="eastAsia" w:ascii="仿宋_GB2312" w:hAnsi="仿宋_GB2312" w:eastAsia="仿宋_GB2312" w:cs="仿宋_GB2312"/>
          <w:sz w:val="32"/>
          <w:szCs w:val="32"/>
        </w:rPr>
        <w:t>香港和澳门居民中的中国公民应聘的，还需提供《港澳居民来往内地通行证》；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（6）招聘岗位条件要求的其他证明材料。</w:t>
      </w:r>
    </w:p>
    <w:p>
      <w:pPr>
        <w:pStyle w:val="13"/>
        <w:spacing w:line="560" w:lineRule="exact"/>
        <w:ind w:firstLine="643" w:firstLineChars="200"/>
        <w:rPr>
          <w:rFonts w:hint="eastAsia" w:ascii="Times New Roman" w:eastAsia="楷体_GB2312"/>
          <w:b/>
          <w:sz w:val="32"/>
          <w:szCs w:val="32"/>
        </w:rPr>
      </w:pPr>
      <w:r>
        <w:rPr>
          <w:rFonts w:hint="eastAsia" w:ascii="Times New Roman" w:eastAsia="楷体_GB2312"/>
          <w:b/>
          <w:sz w:val="32"/>
          <w:szCs w:val="32"/>
        </w:rPr>
        <w:t>20.引进高校名单</w:t>
      </w:r>
    </w:p>
    <w:p>
      <w:pPr>
        <w:pStyle w:val="13"/>
        <w:spacing w:line="560" w:lineRule="exact"/>
        <w:ind w:firstLine="643" w:firstLineChars="200"/>
        <w:rPr>
          <w:rFonts w:hint="eastAsia" w:ascii="Times New Roman" w:eastAsia="楷体_GB2312"/>
          <w:b/>
          <w:sz w:val="32"/>
          <w:szCs w:val="32"/>
        </w:rPr>
      </w:pPr>
      <w:r>
        <w:rPr>
          <w:rFonts w:hint="eastAsia" w:ascii="Times New Roman" w:eastAsia="楷体_GB2312"/>
          <w:b/>
          <w:sz w:val="32"/>
          <w:szCs w:val="32"/>
        </w:rPr>
        <w:t>（1）“双一流”建设高校</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r>
        <w:rPr>
          <w:rFonts w:ascii="Times New Roman" w:hAnsi="Times New Roman" w:eastAsia="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央党校、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Style w:val="13"/>
        <w:spacing w:line="560" w:lineRule="exact"/>
        <w:ind w:firstLine="643" w:firstLineChars="200"/>
        <w:rPr>
          <w:rFonts w:hint="eastAsia" w:ascii="Times New Roman" w:eastAsia="楷体_GB2312"/>
          <w:b/>
          <w:sz w:val="32"/>
          <w:szCs w:val="32"/>
        </w:rPr>
      </w:pPr>
      <w:r>
        <w:rPr>
          <w:rFonts w:hint="eastAsia" w:ascii="Times New Roman" w:eastAsia="楷体_GB2312"/>
          <w:b/>
          <w:sz w:val="32"/>
          <w:szCs w:val="32"/>
        </w:rPr>
        <w:t>（2） 国（境）外院校</w:t>
      </w:r>
    </w:p>
    <w:p>
      <w:pPr>
        <w:autoSpaceDE w:val="0"/>
        <w:autoSpaceDN w:val="0"/>
        <w:adjustRightInd w:val="0"/>
        <w:spacing w:line="560" w:lineRule="exact"/>
        <w:ind w:firstLine="640" w:firstLineChars="200"/>
        <w:rPr>
          <w:rFonts w:hint="eastAsia" w:ascii="仿宋_GB2312" w:hAnsi="Arial" w:eastAsia="仿宋_GB2312" w:cs="Arial"/>
          <w:kern w:val="0"/>
          <w:sz w:val="32"/>
          <w:szCs w:val="32"/>
        </w:rPr>
      </w:pPr>
      <w:r>
        <w:rPr>
          <w:rFonts w:ascii="Times New Roman" w:hAnsi="Times New Roman" w:eastAsia="仿宋_GB2312"/>
          <w:sz w:val="32"/>
          <w:szCs w:val="32"/>
        </w:rPr>
        <w:t>国（境）外院校范围为2021年QS排名前200名高校。</w:t>
      </w: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Malgun Gothic Semilight"/>
    <w:panose1 w:val="02010601030101010101"/>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楷体简体">
    <w:altName w:val="Malgun Gothic Semilight"/>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7A"/>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- 6 -</w:t>
    </w:r>
    <w:r>
      <w:rPr>
        <w:rFonts w:hint="eastAsia" w:ascii="仿宋_GB2312" w:eastAsia="仿宋_GB2312"/>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6F18"/>
    <w:rsid w:val="0AE40A8F"/>
    <w:rsid w:val="0D0A59B1"/>
    <w:rsid w:val="0F4F3B26"/>
    <w:rsid w:val="11E4717B"/>
    <w:rsid w:val="134577A2"/>
    <w:rsid w:val="18CC6F18"/>
    <w:rsid w:val="245B1DAF"/>
    <w:rsid w:val="298E58DA"/>
    <w:rsid w:val="3C617FF5"/>
    <w:rsid w:val="3DE761A5"/>
    <w:rsid w:val="3EAA4080"/>
    <w:rsid w:val="47043998"/>
    <w:rsid w:val="490F7592"/>
    <w:rsid w:val="4F477764"/>
    <w:rsid w:val="69D8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1">
    <w:name w:val="NormalCharacter"/>
    <w:qFormat/>
    <w:uiPriority w:val="0"/>
    <w:rPr>
      <w:rFonts w:ascii="Times New Roman" w:hAnsi="Times New Roman" w:eastAsia="宋体"/>
    </w:rPr>
  </w:style>
  <w:style w:type="paragraph" w:customStyle="1" w:styleId="12">
    <w:name w:val="Plain Text"/>
    <w:basedOn w:val="1"/>
    <w:qFormat/>
    <w:uiPriority w:val="0"/>
    <w:pPr>
      <w:autoSpaceDE w:val="0"/>
      <w:autoSpaceDN w:val="0"/>
      <w:adjustRightInd w:val="0"/>
    </w:pPr>
    <w:rPr>
      <w:rFonts w:ascii="宋体"/>
      <w:sz w:val="20"/>
      <w:szCs w:val="20"/>
    </w:rPr>
  </w:style>
  <w:style w:type="paragraph" w:customStyle="1" w:styleId="13">
    <w:name w:val="纯文本2"/>
    <w:qFormat/>
    <w:uiPriority w:val="0"/>
    <w:pPr>
      <w:widowControl w:val="0"/>
      <w:autoSpaceDE w:val="0"/>
      <w:autoSpaceDN w:val="0"/>
      <w:adjustRightInd w:val="0"/>
      <w:jc w:val="both"/>
    </w:pPr>
    <w:rPr>
      <w:rFonts w:ascii="宋体" w:hAnsi="Times New Roman" w:eastAsia="宋体" w:cs="Times New Roman"/>
      <w:kern w:val="2"/>
      <w:lang w:val="en-US" w:eastAsia="zh-CN" w:bidi="ar-SA"/>
    </w:rPr>
  </w:style>
  <w:style w:type="paragraph" w:customStyle="1" w:styleId="14">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qzuser</dc:creator>
  <cp:lastModifiedBy>qzuser</cp:lastModifiedBy>
  <dcterms:modified xsi:type="dcterms:W3CDTF">2021-05-17T03:18:37Z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FD0D5C5EB9434D6BA8CD8485875FE59D</vt:lpwstr>
  </property>
</Properties>
</file>