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hint="eastAsia" w:ascii="仿宋_GB2312" w:eastAsia="仿宋_GB2312"/>
          <w:sz w:val="32"/>
          <w:szCs w:val="32"/>
        </w:rPr>
      </w:pPr>
    </w:p>
    <w:p>
      <w:pPr>
        <w:spacing w:line="336" w:lineRule="auto"/>
        <w:rPr>
          <w:rFonts w:hint="eastAsia" w:ascii="仿宋_GB2312" w:eastAsia="仿宋_GB2312"/>
          <w:sz w:val="32"/>
          <w:szCs w:val="32"/>
        </w:rPr>
      </w:pPr>
    </w:p>
    <w:p>
      <w:pPr>
        <w:spacing w:line="336" w:lineRule="auto"/>
        <w:rPr>
          <w:rFonts w:hint="eastAsia" w:ascii="仿宋_GB2312" w:eastAsia="仿宋_GB2312"/>
          <w:sz w:val="32"/>
          <w:szCs w:val="32"/>
        </w:rPr>
      </w:pPr>
    </w:p>
    <w:p>
      <w:pPr>
        <w:spacing w:line="336" w:lineRule="auto"/>
        <w:rPr>
          <w:rFonts w:hint="eastAsia"/>
          <w:szCs w:val="21"/>
        </w:rPr>
      </w:pPr>
      <w:r>
        <w:rPr>
          <w:rFonts w:hint="eastAsia" w:ascii="黑体" w:eastAsia="黑体"/>
          <w:szCs w:val="21"/>
        </w:rPr>
        <w:pict>
          <v:shape id="_x0000_s1032" o:spid="_x0000_s1032" o:spt="136" type="#_x0000_t136" style="position:absolute;left:0pt;margin-left:10.5pt;margin-top:0pt;height:56.7pt;width:421.5pt;z-index:251658240;mso-width-relative:page;mso-height-relative:page;" fillcolor="#FF5353" filled="t" stroked="t" coordsize="21600,21600">
            <v:path/>
            <v:fill on="t" focussize="0,0"/>
            <v:stroke color="#FF5353"/>
            <v:imagedata o:title=""/>
            <o:lock v:ext="edit"/>
            <v:textpath on="t" fitshape="t" fitpath="t" trim="t" xscale="f" string="中共海南省洋浦经济开发区工作委员会文件" style="font-family:方正小标宋_GBK;font-size:36pt;v-text-align:center;"/>
          </v:shape>
        </w:pict>
      </w:r>
    </w:p>
    <w:p>
      <w:pPr>
        <w:rPr>
          <w:rFonts w:hint="eastAsia"/>
          <w:szCs w:val="21"/>
        </w:rPr>
      </w:pPr>
    </w:p>
    <w:p>
      <w:pPr>
        <w:rPr>
          <w:rFonts w:hint="eastAsia"/>
          <w:szCs w:val="21"/>
        </w:rPr>
      </w:pPr>
    </w:p>
    <w:p>
      <w:pPr>
        <w:rPr>
          <w:rFonts w:hint="eastAsia"/>
          <w:sz w:val="32"/>
          <w:szCs w:val="32"/>
        </w:rPr>
      </w:pPr>
    </w:p>
    <w:p>
      <w:pPr>
        <w:rPr>
          <w:rFonts w:hint="eastAsia"/>
          <w:sz w:val="32"/>
          <w:szCs w:val="32"/>
        </w:rPr>
      </w:pPr>
    </w:p>
    <w:p>
      <w:pPr>
        <w:spacing w:line="700" w:lineRule="exact"/>
        <w:ind w:firstLine="320" w:firstLineChars="100"/>
        <w:jc w:val="center"/>
        <w:rPr>
          <w:rFonts w:hint="eastAsia" w:ascii="楷体_GB2312" w:eastAsia="楷体_GB2312"/>
          <w:sz w:val="30"/>
          <w:szCs w:val="30"/>
        </w:rPr>
      </w:pPr>
      <w:bookmarkStart w:id="0" w:name="字号"/>
      <w:r>
        <w:rPr>
          <w:rFonts w:hint="eastAsia" w:ascii="仿宋_GB2312" w:eastAsia="仿宋_GB2312"/>
          <w:sz w:val="32"/>
          <w:szCs w:val="32"/>
        </w:rPr>
        <w:t>浦发</w:t>
      </w:r>
      <w:bookmarkEnd w:id="0"/>
      <w:r>
        <w:rPr>
          <w:rFonts w:hint="eastAsia" w:ascii="仿宋_GB2312" w:eastAsia="仿宋_GB2312"/>
          <w:sz w:val="32"/>
          <w:szCs w:val="32"/>
        </w:rPr>
        <w:t>〔</w:t>
      </w:r>
      <w:bookmarkStart w:id="1" w:name="年"/>
      <w:r>
        <w:rPr>
          <w:rFonts w:ascii="仿宋_GB2312" w:eastAsia="仿宋_GB2312"/>
          <w:sz w:val="32"/>
          <w:szCs w:val="32"/>
        </w:rPr>
        <w:t>2020</w:t>
      </w:r>
      <w:bookmarkEnd w:id="1"/>
      <w:r>
        <w:rPr>
          <w:rFonts w:hint="eastAsia" w:ascii="仿宋_GB2312" w:eastAsia="仿宋_GB2312"/>
          <w:sz w:val="32"/>
          <w:szCs w:val="32"/>
        </w:rPr>
        <w:t>〕</w:t>
      </w:r>
      <w:bookmarkStart w:id="2" w:name="文号"/>
      <w:r>
        <w:rPr>
          <w:rFonts w:ascii="仿宋_GB2312" w:eastAsia="仿宋_GB2312"/>
          <w:sz w:val="32"/>
          <w:szCs w:val="32"/>
        </w:rPr>
        <w:t>6</w:t>
      </w:r>
      <w:bookmarkEnd w:id="2"/>
      <w:r>
        <w:rPr>
          <w:rFonts w:hint="eastAsia" w:ascii="仿宋_GB2312" w:eastAsia="仿宋_GB2312"/>
          <w:sz w:val="32"/>
          <w:szCs w:val="32"/>
        </w:rPr>
        <w:t>号</w:t>
      </w:r>
    </w:p>
    <w:p>
      <w:pPr>
        <w:spacing w:line="700" w:lineRule="exact"/>
        <w:jc w:val="center"/>
        <w:rPr>
          <w:color w:val="FF6565"/>
          <w:sz w:val="64"/>
          <w:szCs w:val="64"/>
        </w:rPr>
      </w:pPr>
      <w:r>
        <w:rPr>
          <w:color w:val="FF6565"/>
          <w:sz w:val="64"/>
          <w:szCs w:val="64"/>
        </w:rPr>
        <mc:AlternateContent>
          <mc:Choice Requires="wps">
            <w:drawing>
              <wp:anchor distT="0" distB="0" distL="114300" distR="114300" simplePos="0" relativeHeight="251660288" behindDoc="0" locked="0" layoutInCell="1" allowOverlap="1">
                <wp:simplePos x="0" y="0"/>
                <wp:positionH relativeFrom="column">
                  <wp:posOffset>3115945</wp:posOffset>
                </wp:positionH>
                <wp:positionV relativeFrom="paragraph">
                  <wp:posOffset>191770</wp:posOffset>
                </wp:positionV>
                <wp:extent cx="2495550" cy="0"/>
                <wp:effectExtent l="0" t="12700" r="0" b="15875"/>
                <wp:wrapNone/>
                <wp:docPr id="7" name="直接连接符 7"/>
                <wp:cNvGraphicFramePr/>
                <a:graphic xmlns:a="http://schemas.openxmlformats.org/drawingml/2006/main">
                  <a:graphicData uri="http://schemas.microsoft.com/office/word/2010/wordprocessingShape">
                    <wps:wsp>
                      <wps:cNvSpPr/>
                      <wps:spPr>
                        <a:xfrm>
                          <a:off x="0" y="0"/>
                          <a:ext cx="2495550" cy="0"/>
                        </a:xfrm>
                        <a:prstGeom prst="line">
                          <a:avLst/>
                        </a:prstGeom>
                        <a:ln w="25400" cap="flat" cmpd="sng">
                          <a:solidFill>
                            <a:srgbClr val="FF6565"/>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5.35pt;margin-top:15.1pt;height:0pt;width:196.5pt;z-index:251660288;mso-width-relative:page;mso-height-relative:page;" stroked="t" coordsize="21600,21600" o:gfxdata="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ISW+2AAAAAkBAAAPAAAAAAAAAAEAIAAAACIAAABkcnMvZG93bnJldi54bWxQ&#10;SwECFAAUAAAACACHTuJAITO65fcBAADlAwAADgAAAAAAAAABACAAAAAnAQAAZHJzL2Uyb0RvYy54&#10;bWxQSwUGAAAAAAYABgBZAQAAkAUAAAAA&#10;">
                <v:path arrowok="t"/>
                <v:fill focussize="0,0"/>
                <v:stroke weight="2pt" color="#FF6565"/>
                <v:imagedata o:title=""/>
                <o:lock v:ext="edit"/>
              </v:line>
            </w:pict>
          </mc:Fallback>
        </mc:AlternateContent>
      </w:r>
      <w:bookmarkStart w:id="4" w:name="_GoBack"/>
      <w:r>
        <w:rPr>
          <w:color w:val="FF6565"/>
          <w:sz w:val="64"/>
          <w:szCs w:val="64"/>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191770</wp:posOffset>
                </wp:positionV>
                <wp:extent cx="2495550" cy="0"/>
                <wp:effectExtent l="0" t="12700" r="0" b="15875"/>
                <wp:wrapNone/>
                <wp:docPr id="8" name="直接连接符 8"/>
                <wp:cNvGraphicFramePr/>
                <a:graphic xmlns:a="http://schemas.openxmlformats.org/drawingml/2006/main">
                  <a:graphicData uri="http://schemas.microsoft.com/office/word/2010/wordprocessingShape">
                    <wps:wsp>
                      <wps:cNvSpPr/>
                      <wps:spPr>
                        <a:xfrm>
                          <a:off x="0" y="0"/>
                          <a:ext cx="2495550" cy="0"/>
                        </a:xfrm>
                        <a:prstGeom prst="line">
                          <a:avLst/>
                        </a:prstGeom>
                        <a:ln w="25400" cap="flat" cmpd="sng">
                          <a:solidFill>
                            <a:srgbClr val="FF6565"/>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15.1pt;height:0pt;width:196.5pt;z-index:251659264;mso-width-relative:page;mso-height-relative:page;" stroked="t" coordsize="21600,21600" o:gfxdata="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ZCvi2AAAAAgBAAAPAAAAAAAAAAEAIAAAACIAAABkcnMvZG93bnJldi54bWxQ&#10;SwECFAAUAAAACACHTuJA5cLRyvcBAADlAwAADgAAAAAAAAABACAAAAAnAQAAZHJzL2Uyb0RvYy54&#10;bWxQSwUGAAAAAAYABgBZAQAAkAUAAAAA&#10;">
                <v:path arrowok="t"/>
                <v:fill focussize="0,0"/>
                <v:stroke weight="2pt" color="#FF6565"/>
                <v:imagedata o:title=""/>
                <o:lock v:ext="edit"/>
              </v:line>
            </w:pict>
          </mc:Fallback>
        </mc:AlternateContent>
      </w:r>
      <w:bookmarkEnd w:id="4"/>
      <w:r>
        <w:rPr>
          <w:rFonts w:hint="eastAsia"/>
          <w:color w:val="FF6565"/>
          <w:sz w:val="64"/>
          <w:szCs w:val="64"/>
        </w:rPr>
        <w:t>★</w:t>
      </w:r>
    </w:p>
    <w:p>
      <w:pPr>
        <w:spacing w:line="320" w:lineRule="exact"/>
        <w:rPr>
          <w:rFonts w:hint="eastAsia" w:ascii="宋体" w:hAnsi="宋体"/>
          <w:b/>
          <w:sz w:val="32"/>
          <w:szCs w:val="32"/>
        </w:rPr>
      </w:pPr>
      <w:bookmarkStart w:id="3" w:name="标题"/>
    </w:p>
    <w:p>
      <w:pPr>
        <w:spacing w:line="320" w:lineRule="exact"/>
        <w:rPr>
          <w:rFonts w:hint="eastAsia" w:ascii="宋体" w:hAnsi="宋体"/>
          <w:b/>
          <w:sz w:val="32"/>
          <w:szCs w:val="32"/>
        </w:rPr>
      </w:pPr>
    </w:p>
    <w:bookmarkEnd w:id="3"/>
    <w:p>
      <w:pPr>
        <w:spacing w:line="520" w:lineRule="exact"/>
        <w:jc w:val="center"/>
        <w:rPr>
          <w:rFonts w:hint="eastAsia" w:ascii="方正小标宋_GBK" w:eastAsia="方正小标宋_GBK"/>
          <w:sz w:val="44"/>
          <w:szCs w:val="44"/>
        </w:rPr>
      </w:pPr>
      <w:r>
        <w:rPr>
          <w:rFonts w:hint="eastAsia" w:ascii="方正小标宋_GBK" w:eastAsia="方正小标宋_GBK"/>
          <w:sz w:val="44"/>
          <w:szCs w:val="44"/>
        </w:rPr>
        <w:t>中共洋浦工委  洋浦经济开发区管委会</w:t>
      </w:r>
    </w:p>
    <w:p>
      <w:pPr>
        <w:spacing w:line="520" w:lineRule="exact"/>
        <w:jc w:val="center"/>
        <w:rPr>
          <w:rFonts w:hint="eastAsia" w:ascii="方正小标宋_GBK" w:eastAsia="方正小标宋_GBK"/>
          <w:sz w:val="44"/>
          <w:szCs w:val="44"/>
        </w:rPr>
      </w:pPr>
      <w:r>
        <w:rPr>
          <w:rFonts w:hint="eastAsia" w:ascii="方正小标宋_GBK" w:eastAsia="方正小标宋_GBK"/>
          <w:sz w:val="44"/>
          <w:szCs w:val="44"/>
        </w:rPr>
        <w:t>关于印发《洋浦经济开发区鼓励人才引进十条措施》的通知</w:t>
      </w:r>
    </w:p>
    <w:p>
      <w:pPr>
        <w:spacing w:line="520" w:lineRule="exact"/>
        <w:rPr>
          <w:rFonts w:hint="eastAsia" w:ascii="仿宋_GB2312" w:eastAsia="仿宋_GB2312"/>
          <w:sz w:val="32"/>
          <w:szCs w:val="32"/>
        </w:rPr>
      </w:pPr>
    </w:p>
    <w:p>
      <w:pPr>
        <w:spacing w:line="520" w:lineRule="exact"/>
        <w:rPr>
          <w:rFonts w:eastAsia="仿宋_GB2312"/>
          <w:sz w:val="32"/>
          <w:szCs w:val="32"/>
        </w:rPr>
      </w:pPr>
      <w:r>
        <w:rPr>
          <w:rFonts w:eastAsia="仿宋_GB2312"/>
          <w:sz w:val="32"/>
          <w:szCs w:val="32"/>
        </w:rPr>
        <w:t>各局委办、事业单位、办事处、控股公司</w:t>
      </w:r>
      <w:r>
        <w:rPr>
          <w:rFonts w:hint="eastAsia" w:eastAsia="仿宋_GB2312"/>
          <w:sz w:val="32"/>
          <w:szCs w:val="32"/>
        </w:rPr>
        <w:t>、驻区单位</w:t>
      </w:r>
      <w:r>
        <w:rPr>
          <w:rFonts w:eastAsia="仿宋_GB2312"/>
          <w:sz w:val="32"/>
          <w:szCs w:val="32"/>
        </w:rPr>
        <w:t>：</w:t>
      </w:r>
    </w:p>
    <w:p>
      <w:pPr>
        <w:tabs>
          <w:tab w:val="left" w:pos="7513"/>
          <w:tab w:val="left" w:pos="7655"/>
        </w:tabs>
        <w:spacing w:line="520" w:lineRule="exact"/>
        <w:ind w:firstLine="645"/>
        <w:rPr>
          <w:rFonts w:eastAsia="仿宋_GB2312"/>
          <w:sz w:val="32"/>
          <w:szCs w:val="32"/>
        </w:rPr>
      </w:pPr>
      <w:r>
        <w:rPr>
          <w:rFonts w:eastAsia="仿宋_GB2312"/>
          <w:sz w:val="32"/>
          <w:szCs w:val="32"/>
        </w:rPr>
        <w:t>《洋浦经济开发区</w:t>
      </w:r>
      <w:r>
        <w:rPr>
          <w:rFonts w:hint="eastAsia" w:eastAsia="仿宋_GB2312"/>
          <w:sz w:val="32"/>
          <w:szCs w:val="32"/>
        </w:rPr>
        <w:t>鼓励</w:t>
      </w:r>
      <w:r>
        <w:rPr>
          <w:rFonts w:eastAsia="仿宋_GB2312"/>
          <w:sz w:val="32"/>
          <w:szCs w:val="32"/>
        </w:rPr>
        <w:t>人才引进十条措施》已经工委深化改革委员会2019年第一次会议同意，现印发给你们，请结合实际认真贯彻执行。</w:t>
      </w:r>
    </w:p>
    <w:p>
      <w:pPr>
        <w:spacing w:line="400" w:lineRule="exact"/>
        <w:ind w:firstLine="645"/>
        <w:rPr>
          <w:rFonts w:eastAsia="仿宋_GB2312"/>
          <w:sz w:val="32"/>
          <w:szCs w:val="32"/>
        </w:rPr>
      </w:pPr>
    </w:p>
    <w:p>
      <w:pPr>
        <w:spacing w:line="400" w:lineRule="exact"/>
        <w:ind w:firstLine="645"/>
        <w:rPr>
          <w:rFonts w:eastAsia="仿宋_GB2312"/>
          <w:sz w:val="32"/>
          <w:szCs w:val="32"/>
        </w:rPr>
      </w:pPr>
    </w:p>
    <w:p>
      <w:pPr>
        <w:spacing w:line="400" w:lineRule="exact"/>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 xml:space="preserve">中共洋浦工委          </w:t>
      </w:r>
      <w:r>
        <w:rPr>
          <w:rFonts w:hint="eastAsia" w:eastAsia="仿宋_GB2312"/>
          <w:sz w:val="32"/>
          <w:szCs w:val="32"/>
        </w:rPr>
        <w:t xml:space="preserve">    </w:t>
      </w:r>
      <w:r>
        <w:rPr>
          <w:rFonts w:eastAsia="仿宋_GB2312"/>
          <w:sz w:val="32"/>
          <w:szCs w:val="32"/>
        </w:rPr>
        <w:t>洋浦</w:t>
      </w:r>
      <w:r>
        <w:rPr>
          <w:rFonts w:hint="eastAsia" w:eastAsia="仿宋_GB2312"/>
          <w:sz w:val="32"/>
          <w:szCs w:val="32"/>
        </w:rPr>
        <w:t>经济开发区</w:t>
      </w:r>
      <w:r>
        <w:rPr>
          <w:rFonts w:eastAsia="仿宋_GB2312"/>
          <w:sz w:val="32"/>
          <w:szCs w:val="32"/>
        </w:rPr>
        <w:t>管委会</w:t>
      </w:r>
    </w:p>
    <w:p>
      <w:pPr>
        <w:spacing w:line="520" w:lineRule="exact"/>
        <w:ind w:firstLine="645"/>
        <w:rPr>
          <w:rFonts w:hint="eastAsia"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2020年1月</w:t>
      </w:r>
      <w:r>
        <w:rPr>
          <w:rFonts w:hint="eastAsia" w:eastAsia="仿宋_GB2312"/>
          <w:sz w:val="32"/>
          <w:szCs w:val="32"/>
        </w:rPr>
        <w:t>7</w:t>
      </w:r>
      <w:r>
        <w:rPr>
          <w:rFonts w:eastAsia="仿宋_GB2312"/>
          <w:sz w:val="32"/>
          <w:szCs w:val="32"/>
        </w:rPr>
        <w:t>日</w:t>
      </w:r>
    </w:p>
    <w:p>
      <w:pPr>
        <w:spacing w:line="520" w:lineRule="exact"/>
        <w:ind w:firstLine="645"/>
        <w:rPr>
          <w:rFonts w:hint="eastAsia" w:eastAsia="仿宋_GB2312"/>
          <w:sz w:val="32"/>
          <w:szCs w:val="32"/>
        </w:rPr>
      </w:pPr>
      <w:r>
        <w:rPr>
          <w:rFonts w:hint="eastAsia" w:eastAsia="仿宋_GB2312"/>
          <w:sz w:val="32"/>
          <w:szCs w:val="32"/>
        </w:rPr>
        <w:t>（此件主动公开）</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洋浦经济开发区鼓励人才引进十条措施</w:t>
      </w:r>
    </w:p>
    <w:p>
      <w:pPr>
        <w:spacing w:line="600" w:lineRule="exact"/>
        <w:ind w:firstLine="645"/>
        <w:rPr>
          <w:rFonts w:eastAsia="仿宋_GB2312"/>
          <w:sz w:val="32"/>
          <w:szCs w:val="32"/>
        </w:rPr>
      </w:pPr>
      <w:r>
        <w:rPr>
          <w:rFonts w:eastAsia="仿宋_GB2312"/>
          <w:sz w:val="32"/>
          <w:szCs w:val="32"/>
        </w:rPr>
        <w:t xml:space="preserve">  </w:t>
      </w:r>
    </w:p>
    <w:p>
      <w:pPr>
        <w:spacing w:line="600" w:lineRule="exact"/>
        <w:ind w:firstLine="645"/>
        <w:rPr>
          <w:rFonts w:hint="eastAsia" w:eastAsia="仿宋_GB2312"/>
          <w:sz w:val="32"/>
          <w:szCs w:val="32"/>
        </w:rPr>
      </w:pPr>
      <w:r>
        <w:rPr>
          <w:rFonts w:hint="eastAsia" w:eastAsia="仿宋_GB2312"/>
          <w:sz w:val="32"/>
          <w:szCs w:val="32"/>
        </w:rPr>
        <w:t>为进一步创新开发区人才体制机制，全面提升人才服务水平，促进人才发展，打造人才高地，为自贸港建设提供人才保障和智力支持，结合实际，制定以下引才措施：</w:t>
      </w:r>
    </w:p>
    <w:p>
      <w:pPr>
        <w:spacing w:line="600" w:lineRule="exact"/>
        <w:ind w:firstLine="645"/>
        <w:rPr>
          <w:rFonts w:hint="eastAsia" w:ascii="黑体" w:hAnsi="黑体" w:eastAsia="黑体"/>
          <w:sz w:val="32"/>
          <w:szCs w:val="32"/>
        </w:rPr>
      </w:pPr>
      <w:r>
        <w:rPr>
          <w:rFonts w:hint="eastAsia" w:ascii="黑体" w:hAnsi="黑体" w:eastAsia="黑体"/>
          <w:sz w:val="32"/>
          <w:szCs w:val="32"/>
        </w:rPr>
        <w:t>一、全面放开人才落户</w:t>
      </w:r>
    </w:p>
    <w:p>
      <w:pPr>
        <w:spacing w:line="600" w:lineRule="exact"/>
        <w:ind w:firstLine="645"/>
        <w:rPr>
          <w:rFonts w:hint="eastAsia" w:eastAsia="仿宋_GB2312"/>
          <w:sz w:val="32"/>
          <w:szCs w:val="32"/>
        </w:rPr>
      </w:pPr>
      <w:r>
        <w:rPr>
          <w:rFonts w:hint="eastAsia" w:eastAsia="仿宋_GB2312"/>
          <w:sz w:val="32"/>
          <w:szCs w:val="32"/>
        </w:rPr>
        <w:t>凡与开发区重点用人单位签订正式劳动合同的省外人才即可落户，其共同居住生活的配偶、未成年子女、以及达到国家法定退休年龄的父母可随迁。</w:t>
      </w:r>
    </w:p>
    <w:p>
      <w:pPr>
        <w:spacing w:line="600" w:lineRule="exact"/>
        <w:ind w:firstLine="645"/>
        <w:rPr>
          <w:rFonts w:hint="eastAsia" w:ascii="黑体" w:hAnsi="黑体" w:eastAsia="黑体"/>
          <w:sz w:val="32"/>
          <w:szCs w:val="32"/>
        </w:rPr>
      </w:pPr>
      <w:r>
        <w:rPr>
          <w:rFonts w:hint="eastAsia" w:ascii="黑体" w:hAnsi="黑体" w:eastAsia="黑体"/>
          <w:sz w:val="32"/>
          <w:szCs w:val="32"/>
        </w:rPr>
        <w:t>二、全方位保障人才安居</w:t>
      </w:r>
    </w:p>
    <w:p>
      <w:pPr>
        <w:spacing w:line="600" w:lineRule="exact"/>
        <w:ind w:firstLine="645"/>
        <w:rPr>
          <w:rFonts w:hint="eastAsia" w:eastAsia="仿宋_GB2312"/>
          <w:sz w:val="32"/>
          <w:szCs w:val="32"/>
        </w:rPr>
      </w:pPr>
      <w:r>
        <w:rPr>
          <w:rFonts w:hint="eastAsia" w:eastAsia="仿宋_GB2312"/>
          <w:sz w:val="32"/>
          <w:szCs w:val="32"/>
        </w:rPr>
        <w:t>（一）重点用人单位引进的人才及其家庭成员在开发区无房的，可在区内购买商品房1套。</w:t>
      </w:r>
    </w:p>
    <w:p>
      <w:pPr>
        <w:spacing w:line="600" w:lineRule="exact"/>
        <w:ind w:firstLine="645"/>
        <w:rPr>
          <w:rFonts w:hint="eastAsia" w:eastAsia="仿宋_GB2312"/>
          <w:sz w:val="32"/>
          <w:szCs w:val="32"/>
        </w:rPr>
      </w:pPr>
      <w:r>
        <w:rPr>
          <w:rFonts w:hint="eastAsia" w:eastAsia="仿宋_GB2312"/>
          <w:sz w:val="32"/>
          <w:szCs w:val="32"/>
        </w:rPr>
        <w:t>（二）大师级人才、杰出人才、领军人才，可享受一套不低于120平方米免租金的人才公寓，在开发区工作满5年，无偿赠与全部产权。开发区重点引进的高层次人才按“一事一议”的方式予以确定。</w:t>
      </w:r>
    </w:p>
    <w:p>
      <w:pPr>
        <w:spacing w:line="600" w:lineRule="exact"/>
        <w:ind w:firstLine="645"/>
        <w:rPr>
          <w:rFonts w:hint="eastAsia" w:eastAsia="仿宋_GB2312"/>
          <w:sz w:val="32"/>
          <w:szCs w:val="32"/>
        </w:rPr>
      </w:pPr>
      <w:r>
        <w:rPr>
          <w:rFonts w:hint="eastAsia" w:eastAsia="仿宋_GB2312"/>
          <w:sz w:val="32"/>
          <w:szCs w:val="32"/>
        </w:rPr>
        <w:t>（三）引进的全职人才在区内租房，可以享受租房补贴，补贴由开发区财政承担。住房租赁补贴累计发放不超过36个月，每季度集中受理和发放一次。补贴指导标准为：拔尖人才3000元/月，其他高层次人才2000元/月，全日制硕士毕业生（中级职称、高级技师）1500元/月，全日制本科毕业生（初级职称、技师）1000元/月，全日制大专毕业生（高级工）800元/月。</w:t>
      </w:r>
    </w:p>
    <w:p>
      <w:pPr>
        <w:spacing w:line="600" w:lineRule="exact"/>
        <w:ind w:firstLine="645"/>
        <w:rPr>
          <w:rFonts w:hint="eastAsia" w:eastAsia="仿宋_GB2312"/>
          <w:sz w:val="32"/>
          <w:szCs w:val="32"/>
        </w:rPr>
      </w:pPr>
      <w:r>
        <w:rPr>
          <w:rFonts w:hint="eastAsia" w:eastAsia="仿宋_GB2312"/>
          <w:sz w:val="32"/>
          <w:szCs w:val="32"/>
        </w:rPr>
        <w:t>（四）引进的全职人才在省内购房，可以申请购房补贴，补贴由开发区财政承担。购房补贴累计不超过3年，每年集中办理和发放一次。补贴指导标准为：拔尖人才3.6万元/年，其他高层次人才2.4万元/年，全日制硕士毕业生（中级职称、高级技师）1.8万元/年，全日制本科毕业生（初级职称、技师）1.2万元/年，全日制大专毕业生（高级工）0.96万元/年。</w:t>
      </w:r>
    </w:p>
    <w:p>
      <w:pPr>
        <w:spacing w:line="600" w:lineRule="exact"/>
        <w:ind w:firstLine="645"/>
        <w:rPr>
          <w:rFonts w:hint="eastAsia" w:eastAsia="仿宋_GB2312"/>
          <w:sz w:val="32"/>
          <w:szCs w:val="32"/>
        </w:rPr>
      </w:pPr>
      <w:r>
        <w:rPr>
          <w:rFonts w:hint="eastAsia" w:eastAsia="仿宋_GB2312"/>
          <w:sz w:val="32"/>
          <w:szCs w:val="32"/>
        </w:rPr>
        <w:t xml:space="preserve">人才或其配偶已在开发区享受购买公有住房、政府统建的经济适用房、限售商品房、单位集资建房、员工房、配租公共租赁住房或领取公共租赁住房补贴的，不得再申请住房租赁补贴和购房补贴。  </w:t>
      </w:r>
    </w:p>
    <w:p>
      <w:pPr>
        <w:spacing w:line="600" w:lineRule="exact"/>
        <w:ind w:firstLine="645"/>
        <w:rPr>
          <w:rFonts w:hint="eastAsia" w:eastAsia="仿宋_GB2312"/>
          <w:sz w:val="32"/>
          <w:szCs w:val="32"/>
        </w:rPr>
      </w:pPr>
      <w:r>
        <w:rPr>
          <w:rFonts w:hint="eastAsia" w:eastAsia="仿宋_GB2312"/>
          <w:sz w:val="32"/>
          <w:szCs w:val="32"/>
        </w:rPr>
        <w:t>已领取购房补贴的，不再发放住房租赁补贴。领取购房补贴前，已领取住房租赁补贴的，应扣除已领取的住房租赁补贴。</w:t>
      </w:r>
    </w:p>
    <w:p>
      <w:pPr>
        <w:spacing w:line="600" w:lineRule="exact"/>
        <w:ind w:firstLine="645"/>
        <w:rPr>
          <w:rFonts w:hint="eastAsia" w:eastAsia="仿宋_GB2312"/>
          <w:sz w:val="32"/>
          <w:szCs w:val="32"/>
        </w:rPr>
      </w:pPr>
      <w:r>
        <w:rPr>
          <w:rFonts w:hint="eastAsia" w:eastAsia="仿宋_GB2312"/>
          <w:sz w:val="32"/>
          <w:szCs w:val="32"/>
        </w:rPr>
        <w:t>用人单位可根据自身薪酬管理规定自主决定是否按1：1比例配套。</w:t>
      </w:r>
    </w:p>
    <w:p>
      <w:pPr>
        <w:spacing w:line="600" w:lineRule="exact"/>
        <w:ind w:firstLine="645"/>
        <w:rPr>
          <w:rFonts w:hint="eastAsia" w:ascii="黑体" w:hAnsi="黑体" w:eastAsia="黑体"/>
          <w:sz w:val="32"/>
          <w:szCs w:val="32"/>
        </w:rPr>
      </w:pPr>
      <w:r>
        <w:rPr>
          <w:rFonts w:hint="eastAsia" w:ascii="黑体" w:hAnsi="黑体" w:eastAsia="黑体"/>
          <w:sz w:val="32"/>
          <w:szCs w:val="32"/>
        </w:rPr>
        <w:t>三、优化人才子女入学通道</w:t>
      </w:r>
    </w:p>
    <w:p>
      <w:pPr>
        <w:spacing w:line="600" w:lineRule="exact"/>
        <w:ind w:firstLine="645"/>
        <w:rPr>
          <w:rFonts w:hint="eastAsia" w:eastAsia="仿宋_GB2312"/>
          <w:sz w:val="32"/>
          <w:szCs w:val="32"/>
        </w:rPr>
      </w:pPr>
      <w:r>
        <w:rPr>
          <w:rFonts w:hint="eastAsia" w:eastAsia="仿宋_GB2312"/>
          <w:sz w:val="32"/>
          <w:szCs w:val="32"/>
        </w:rPr>
        <w:t>优质学位向重点用人单位引进的人才子女倾斜，按“一事一议”原则进行合理安排。对开发区内暂时无法解决的优质学位，采取与区外优质的民办学校协商方式予以解决。省委、省政府对引进人才子女入学、入园以及中考、高考报考条件有规定的，从其规定。</w:t>
      </w:r>
    </w:p>
    <w:p>
      <w:pPr>
        <w:spacing w:line="600" w:lineRule="exact"/>
        <w:ind w:firstLine="645"/>
        <w:rPr>
          <w:rFonts w:hint="eastAsia" w:ascii="黑体" w:hAnsi="黑体" w:eastAsia="黑体"/>
          <w:sz w:val="32"/>
          <w:szCs w:val="32"/>
        </w:rPr>
      </w:pPr>
      <w:r>
        <w:rPr>
          <w:rFonts w:hint="eastAsia" w:ascii="黑体" w:hAnsi="黑体" w:eastAsia="黑体"/>
          <w:sz w:val="32"/>
          <w:szCs w:val="32"/>
        </w:rPr>
        <w:t>四、提供优质的医疗保障</w:t>
      </w:r>
    </w:p>
    <w:p>
      <w:pPr>
        <w:spacing w:line="600" w:lineRule="exact"/>
        <w:ind w:firstLine="645"/>
        <w:rPr>
          <w:rFonts w:hint="eastAsia" w:eastAsia="仿宋_GB2312"/>
          <w:sz w:val="32"/>
          <w:szCs w:val="32"/>
        </w:rPr>
      </w:pPr>
      <w:r>
        <w:rPr>
          <w:rFonts w:hint="eastAsia" w:eastAsia="仿宋_GB2312"/>
          <w:sz w:val="32"/>
          <w:szCs w:val="32"/>
        </w:rPr>
        <w:t>（一）为引进人才开通绿色就医通道，提供区外有合作的三甲医院自选专家挂号。</w:t>
      </w:r>
    </w:p>
    <w:p>
      <w:pPr>
        <w:spacing w:line="600" w:lineRule="exact"/>
        <w:ind w:firstLine="645"/>
        <w:rPr>
          <w:rFonts w:hint="eastAsia" w:eastAsia="仿宋_GB2312"/>
          <w:sz w:val="32"/>
          <w:szCs w:val="32"/>
        </w:rPr>
      </w:pPr>
      <w:r>
        <w:rPr>
          <w:rFonts w:hint="eastAsia" w:eastAsia="仿宋_GB2312"/>
          <w:sz w:val="32"/>
          <w:szCs w:val="32"/>
        </w:rPr>
        <w:t>（二）为高层次人才（大师级人才、杰出人才、领军人才、拔尖人才）按每工作满1年提供1个月的标准、最多提供不超过12个月的住院护理补助，护理补助根据实际住院天数比照上年度全省在岗职工月平均工资标准予以发放。</w:t>
      </w:r>
    </w:p>
    <w:p>
      <w:pPr>
        <w:spacing w:line="600" w:lineRule="exact"/>
        <w:ind w:firstLine="645"/>
        <w:rPr>
          <w:rFonts w:hint="eastAsia" w:ascii="黑体" w:hAnsi="黑体" w:eastAsia="黑体"/>
          <w:sz w:val="32"/>
          <w:szCs w:val="32"/>
        </w:rPr>
      </w:pPr>
      <w:r>
        <w:rPr>
          <w:rFonts w:hint="eastAsia" w:ascii="黑体" w:hAnsi="黑体" w:eastAsia="黑体"/>
          <w:sz w:val="32"/>
          <w:szCs w:val="32"/>
        </w:rPr>
        <w:t>五、为高层次人才配偶就业提供过渡性保障</w:t>
      </w:r>
    </w:p>
    <w:p>
      <w:pPr>
        <w:spacing w:line="600" w:lineRule="exact"/>
        <w:ind w:firstLine="645"/>
        <w:rPr>
          <w:rFonts w:hint="eastAsia" w:eastAsia="仿宋_GB2312"/>
          <w:sz w:val="32"/>
          <w:szCs w:val="32"/>
        </w:rPr>
      </w:pPr>
      <w:r>
        <w:rPr>
          <w:rFonts w:hint="eastAsia" w:eastAsia="仿宋_GB2312"/>
          <w:sz w:val="32"/>
          <w:szCs w:val="32"/>
        </w:rPr>
        <w:t>鼓励高层次人才配偶按市场化方式自主就业。对于大师级人才、杰出人才、领军人才、拔尖人才和其它高层次人才中一二三类人才在开发区工作期间，配偶未就业的，以全省在岗职工上年度社会月平均工资为基数发放生活费，并为其缴纳城乡居民基本养老保险和城乡居民基本医疗保险；在洋浦统筹区内，配偶以灵活就业身份参加城镇从业人员基本养老保险，并缴费到账，可申请财政补贴，财政补贴标准为其实际缴费额的70%。过渡性保障期限最长为3年。</w:t>
      </w:r>
    </w:p>
    <w:p>
      <w:pPr>
        <w:spacing w:line="600" w:lineRule="exact"/>
        <w:ind w:firstLine="645"/>
        <w:rPr>
          <w:rFonts w:hint="eastAsia" w:ascii="黑体" w:hAnsi="黑体" w:eastAsia="黑体"/>
          <w:sz w:val="32"/>
          <w:szCs w:val="32"/>
        </w:rPr>
      </w:pPr>
      <w:r>
        <w:rPr>
          <w:rFonts w:hint="eastAsia" w:ascii="黑体" w:hAnsi="黑体" w:eastAsia="黑体"/>
          <w:sz w:val="32"/>
          <w:szCs w:val="32"/>
        </w:rPr>
        <w:t>六、完善人才工资薪金个税补贴政策</w:t>
      </w:r>
    </w:p>
    <w:p>
      <w:pPr>
        <w:spacing w:line="600" w:lineRule="exact"/>
        <w:ind w:firstLine="645"/>
        <w:rPr>
          <w:rFonts w:hint="eastAsia" w:eastAsia="仿宋_GB2312"/>
          <w:sz w:val="32"/>
          <w:szCs w:val="32"/>
        </w:rPr>
      </w:pPr>
      <w:r>
        <w:rPr>
          <w:rFonts w:hint="eastAsia" w:eastAsia="仿宋_GB2312"/>
          <w:sz w:val="32"/>
          <w:szCs w:val="32"/>
        </w:rPr>
        <w:t>（一）在开发区工作的外籍人才及港澳台人员，在开发区缴纳的工资薪金个人所得税已缴税额超过其按应纳税所得额的10%计算的税额部分，由开发区给予补贴；</w:t>
      </w:r>
    </w:p>
    <w:p>
      <w:pPr>
        <w:spacing w:line="600" w:lineRule="exact"/>
        <w:ind w:firstLine="645"/>
        <w:rPr>
          <w:rFonts w:hint="eastAsia" w:eastAsia="仿宋_GB2312"/>
          <w:sz w:val="32"/>
          <w:szCs w:val="32"/>
        </w:rPr>
      </w:pPr>
      <w:r>
        <w:rPr>
          <w:rFonts w:hint="eastAsia" w:eastAsia="仿宋_GB2312"/>
          <w:sz w:val="32"/>
          <w:szCs w:val="32"/>
        </w:rPr>
        <w:t>（二）以下人才在开发区工作期间按照个人工资薪金缴纳的所得税地方留成部分给予一定比例的补贴：</w:t>
      </w:r>
    </w:p>
    <w:p>
      <w:pPr>
        <w:spacing w:line="600" w:lineRule="exact"/>
        <w:ind w:firstLine="645"/>
        <w:rPr>
          <w:rFonts w:hint="eastAsia" w:eastAsia="仿宋_GB2312"/>
          <w:sz w:val="32"/>
          <w:szCs w:val="32"/>
        </w:rPr>
      </w:pPr>
      <w:r>
        <w:rPr>
          <w:rFonts w:hint="eastAsia" w:eastAsia="仿宋_GB2312"/>
          <w:sz w:val="32"/>
          <w:szCs w:val="32"/>
        </w:rPr>
        <w:t>1. 大师级人才、杰出人才、领军人才、南海名家按100%的比例给予补贴；</w:t>
      </w:r>
    </w:p>
    <w:p>
      <w:pPr>
        <w:spacing w:line="600" w:lineRule="exact"/>
        <w:ind w:firstLine="645"/>
        <w:rPr>
          <w:rFonts w:hint="eastAsia" w:eastAsia="仿宋_GB2312"/>
          <w:sz w:val="32"/>
          <w:szCs w:val="32"/>
        </w:rPr>
      </w:pPr>
      <w:r>
        <w:rPr>
          <w:rFonts w:hint="eastAsia" w:eastAsia="仿宋_GB2312"/>
          <w:sz w:val="32"/>
          <w:szCs w:val="32"/>
        </w:rPr>
        <w:t>2. 拔尖人才、博士研究生、南海英才、南海工匠按80%的比例给予补贴；</w:t>
      </w:r>
    </w:p>
    <w:p>
      <w:pPr>
        <w:spacing w:line="600" w:lineRule="exact"/>
        <w:ind w:firstLine="645"/>
        <w:rPr>
          <w:rFonts w:hint="eastAsia" w:eastAsia="仿宋_GB2312"/>
          <w:sz w:val="32"/>
          <w:szCs w:val="32"/>
        </w:rPr>
      </w:pPr>
      <w:r>
        <w:rPr>
          <w:rFonts w:hint="eastAsia" w:eastAsia="仿宋_GB2312"/>
          <w:sz w:val="32"/>
          <w:szCs w:val="32"/>
        </w:rPr>
        <w:t>3. 年薪20万元（含）-30万元（不含）的人才按50%的比例给予补贴；年薪30万元（含）-40万元（不含）的人才按60%的比例给予补贴；年薪40万元（含）以上的人才按70%的比例给予补贴。</w:t>
      </w:r>
    </w:p>
    <w:p>
      <w:pPr>
        <w:spacing w:line="600" w:lineRule="exact"/>
        <w:ind w:firstLine="645"/>
        <w:rPr>
          <w:rFonts w:hint="eastAsia" w:eastAsia="仿宋_GB2312"/>
          <w:sz w:val="32"/>
          <w:szCs w:val="32"/>
        </w:rPr>
      </w:pPr>
      <w:r>
        <w:rPr>
          <w:rFonts w:hint="eastAsia" w:eastAsia="仿宋_GB2312"/>
          <w:sz w:val="32"/>
          <w:szCs w:val="32"/>
        </w:rPr>
        <w:t>对于2018年5月13日以前全职在区内重点用人单位工作，在2018年5月13日及以后被评定为我省高层次人才的，可纳入本政策保障范围。</w:t>
      </w:r>
    </w:p>
    <w:p>
      <w:pPr>
        <w:spacing w:line="600" w:lineRule="exact"/>
        <w:ind w:firstLine="645"/>
        <w:rPr>
          <w:rFonts w:hint="eastAsia" w:eastAsia="仿宋_GB2312"/>
          <w:sz w:val="32"/>
          <w:szCs w:val="32"/>
        </w:rPr>
      </w:pPr>
      <w:r>
        <w:rPr>
          <w:rFonts w:hint="eastAsia" w:eastAsia="仿宋_GB2312"/>
          <w:sz w:val="32"/>
          <w:szCs w:val="32"/>
        </w:rPr>
        <w:t>已享受开发区个税优惠政策的人才不可重复享受。</w:t>
      </w:r>
    </w:p>
    <w:p>
      <w:pPr>
        <w:spacing w:line="600" w:lineRule="exact"/>
        <w:ind w:firstLine="645"/>
        <w:rPr>
          <w:rFonts w:hint="eastAsia" w:ascii="黑体" w:hAnsi="黑体" w:eastAsia="黑体"/>
          <w:sz w:val="32"/>
          <w:szCs w:val="32"/>
        </w:rPr>
      </w:pPr>
      <w:r>
        <w:rPr>
          <w:rFonts w:hint="eastAsia" w:ascii="黑体" w:hAnsi="黑体" w:eastAsia="黑体"/>
          <w:sz w:val="32"/>
          <w:szCs w:val="32"/>
        </w:rPr>
        <w:t>七、加快急需紧缺人才汇聚</w:t>
      </w:r>
    </w:p>
    <w:p>
      <w:pPr>
        <w:spacing w:line="600" w:lineRule="exact"/>
        <w:ind w:firstLine="645"/>
        <w:rPr>
          <w:rFonts w:hint="eastAsia" w:eastAsia="仿宋_GB2312"/>
          <w:sz w:val="32"/>
          <w:szCs w:val="32"/>
        </w:rPr>
      </w:pPr>
      <w:r>
        <w:rPr>
          <w:rFonts w:hint="eastAsia" w:eastAsia="仿宋_GB2312"/>
          <w:sz w:val="32"/>
          <w:szCs w:val="32"/>
        </w:rPr>
        <w:t>（一）享受国务院特殊津贴的人员在开发区工作期间，地方财政按1:1的比例给予配套。</w:t>
      </w:r>
    </w:p>
    <w:p>
      <w:pPr>
        <w:spacing w:line="600" w:lineRule="exact"/>
        <w:ind w:firstLine="645"/>
        <w:rPr>
          <w:rFonts w:hint="eastAsia" w:eastAsia="仿宋_GB2312"/>
          <w:sz w:val="32"/>
          <w:szCs w:val="32"/>
        </w:rPr>
      </w:pPr>
      <w:r>
        <w:rPr>
          <w:rFonts w:hint="eastAsia" w:eastAsia="仿宋_GB2312"/>
          <w:sz w:val="32"/>
          <w:szCs w:val="32"/>
        </w:rPr>
        <w:t>（二）引进全职的大师级人才、杰出人才、领军人才、拔尖人才的和其他高层次人才，分别给予个人一次性10万元、8万元、6万元、4万元、2万元的安家补贴。</w:t>
      </w:r>
    </w:p>
    <w:p>
      <w:pPr>
        <w:spacing w:line="600" w:lineRule="exact"/>
        <w:ind w:firstLine="645"/>
        <w:rPr>
          <w:rFonts w:hint="eastAsia" w:eastAsia="仿宋_GB2312"/>
          <w:sz w:val="32"/>
          <w:szCs w:val="32"/>
        </w:rPr>
      </w:pPr>
      <w:r>
        <w:rPr>
          <w:rFonts w:hint="eastAsia" w:eastAsia="仿宋_GB2312"/>
          <w:sz w:val="32"/>
          <w:szCs w:val="32"/>
        </w:rPr>
        <w:t>（三）引进全职的高层次人才团队，团队带头人属于大师级人才、杰出人才、领军人才的，分别给予团队一次性50万元、30万元、20万元的安家补贴。</w:t>
      </w:r>
    </w:p>
    <w:p>
      <w:pPr>
        <w:spacing w:line="600" w:lineRule="exact"/>
        <w:ind w:firstLine="645"/>
        <w:rPr>
          <w:rFonts w:hint="eastAsia" w:eastAsia="仿宋_GB2312"/>
          <w:sz w:val="32"/>
          <w:szCs w:val="32"/>
        </w:rPr>
      </w:pPr>
      <w:r>
        <w:rPr>
          <w:rFonts w:hint="eastAsia" w:eastAsia="仿宋_GB2312"/>
          <w:sz w:val="32"/>
          <w:szCs w:val="32"/>
        </w:rPr>
        <w:t>（四）重点用人单位引进紧缺专业的“211工程”“985工程”“双一流”院校硕士研究生、境外取得硕士以上学位留学归国人员和中级职称的人才，试用期满转正，给予一次性1万元的安家补贴。</w:t>
      </w:r>
    </w:p>
    <w:p>
      <w:pPr>
        <w:spacing w:line="600" w:lineRule="exact"/>
        <w:ind w:firstLine="645"/>
        <w:rPr>
          <w:rFonts w:hint="eastAsia" w:eastAsia="仿宋_GB2312"/>
          <w:sz w:val="32"/>
          <w:szCs w:val="32"/>
        </w:rPr>
      </w:pPr>
      <w:r>
        <w:rPr>
          <w:rFonts w:hint="eastAsia" w:eastAsia="仿宋_GB2312"/>
          <w:sz w:val="32"/>
          <w:szCs w:val="32"/>
        </w:rPr>
        <w:t>（五）重点用人单位引进符合开发区急需紧缺专业人才目录的人才，试用期满转正，给予一次性0.5万元的安家补贴。</w:t>
      </w:r>
    </w:p>
    <w:p>
      <w:pPr>
        <w:spacing w:line="600" w:lineRule="exact"/>
        <w:ind w:firstLine="645"/>
        <w:rPr>
          <w:rFonts w:hint="eastAsia" w:eastAsia="仿宋_GB2312"/>
          <w:sz w:val="32"/>
          <w:szCs w:val="32"/>
        </w:rPr>
      </w:pPr>
      <w:r>
        <w:rPr>
          <w:rFonts w:hint="eastAsia" w:eastAsia="仿宋_GB2312"/>
          <w:sz w:val="32"/>
          <w:szCs w:val="32"/>
        </w:rPr>
        <w:t>已享受开发区其他引进人才优惠政策的不再重复享受。</w:t>
      </w:r>
    </w:p>
    <w:p>
      <w:pPr>
        <w:spacing w:line="600" w:lineRule="exact"/>
        <w:ind w:firstLine="645"/>
        <w:rPr>
          <w:rFonts w:hint="eastAsia" w:ascii="黑体" w:hAnsi="黑体" w:eastAsia="黑体"/>
          <w:sz w:val="32"/>
          <w:szCs w:val="32"/>
        </w:rPr>
      </w:pPr>
      <w:r>
        <w:rPr>
          <w:rFonts w:hint="eastAsia" w:ascii="黑体" w:hAnsi="黑体" w:eastAsia="黑体"/>
          <w:sz w:val="32"/>
          <w:szCs w:val="32"/>
        </w:rPr>
        <w:t>八、鼓励用人单位储备人才</w:t>
      </w:r>
    </w:p>
    <w:p>
      <w:pPr>
        <w:spacing w:line="600" w:lineRule="exact"/>
        <w:ind w:firstLine="645"/>
        <w:rPr>
          <w:rFonts w:hint="eastAsia" w:eastAsia="仿宋_GB2312"/>
          <w:sz w:val="32"/>
          <w:szCs w:val="32"/>
        </w:rPr>
      </w:pPr>
      <w:r>
        <w:rPr>
          <w:rFonts w:hint="eastAsia" w:eastAsia="仿宋_GB2312"/>
          <w:sz w:val="32"/>
          <w:szCs w:val="32"/>
        </w:rPr>
        <w:t>鼓励用人单位抢占人才储备先机，提前签约优秀人才，凡与开发区重点用人单位签订3年以上正式劳动合同品学兼优的在校生，每年可获得开发区适当财政补助，补助标准如下：</w:t>
      </w:r>
    </w:p>
    <w:p>
      <w:pPr>
        <w:spacing w:line="600" w:lineRule="exact"/>
        <w:ind w:firstLine="645"/>
        <w:rPr>
          <w:rFonts w:hint="eastAsia" w:eastAsia="仿宋_GB2312"/>
          <w:sz w:val="32"/>
          <w:szCs w:val="32"/>
        </w:rPr>
      </w:pPr>
      <w:r>
        <w:rPr>
          <w:rFonts w:hint="eastAsia" w:eastAsia="仿宋_GB2312"/>
          <w:sz w:val="32"/>
          <w:szCs w:val="32"/>
        </w:rPr>
        <w:t>（一）全日制博士研究生，每人每学年3万元；</w:t>
      </w:r>
    </w:p>
    <w:p>
      <w:pPr>
        <w:spacing w:line="600" w:lineRule="exact"/>
        <w:ind w:firstLine="645"/>
        <w:rPr>
          <w:rFonts w:hint="eastAsia" w:eastAsia="仿宋_GB2312"/>
          <w:sz w:val="32"/>
          <w:szCs w:val="32"/>
        </w:rPr>
      </w:pPr>
      <w:r>
        <w:rPr>
          <w:rFonts w:hint="eastAsia" w:eastAsia="仿宋_GB2312"/>
          <w:sz w:val="32"/>
          <w:szCs w:val="32"/>
        </w:rPr>
        <w:t>（二）全日制名校硕士研究生（“211工程”“985工程”“双一流”院校），每人每学年2万元；</w:t>
      </w:r>
    </w:p>
    <w:p>
      <w:pPr>
        <w:spacing w:line="600" w:lineRule="exact"/>
        <w:ind w:firstLine="645"/>
        <w:rPr>
          <w:rFonts w:hint="eastAsia" w:eastAsia="仿宋_GB2312"/>
          <w:sz w:val="32"/>
          <w:szCs w:val="32"/>
        </w:rPr>
      </w:pPr>
      <w:r>
        <w:rPr>
          <w:rFonts w:hint="eastAsia" w:eastAsia="仿宋_GB2312"/>
          <w:sz w:val="32"/>
          <w:szCs w:val="32"/>
        </w:rPr>
        <w:t>（三）全日制名校本科生（“211工程”“985工程”“双一流”院校），每人每学年1万元。</w:t>
      </w:r>
    </w:p>
    <w:p>
      <w:pPr>
        <w:spacing w:line="600" w:lineRule="exact"/>
        <w:ind w:firstLine="645"/>
        <w:rPr>
          <w:rFonts w:hint="eastAsia" w:ascii="黑体" w:hAnsi="黑体" w:eastAsia="黑体"/>
          <w:sz w:val="32"/>
          <w:szCs w:val="32"/>
        </w:rPr>
      </w:pPr>
      <w:r>
        <w:rPr>
          <w:rFonts w:hint="eastAsia" w:ascii="黑体" w:hAnsi="黑体" w:eastAsia="黑体"/>
          <w:sz w:val="32"/>
          <w:szCs w:val="32"/>
        </w:rPr>
        <w:t>九、加大柔性引才力度</w:t>
      </w:r>
    </w:p>
    <w:p>
      <w:pPr>
        <w:spacing w:line="600" w:lineRule="exact"/>
        <w:ind w:firstLine="645"/>
        <w:rPr>
          <w:rFonts w:hint="eastAsia" w:eastAsia="仿宋_GB2312"/>
          <w:sz w:val="32"/>
          <w:szCs w:val="32"/>
        </w:rPr>
      </w:pPr>
      <w:r>
        <w:rPr>
          <w:rFonts w:hint="eastAsia" w:ascii="楷体_GB2312" w:eastAsia="楷体_GB2312"/>
          <w:sz w:val="32"/>
          <w:szCs w:val="32"/>
        </w:rPr>
        <w:t>（一）提供与全职人才相等待遇：</w:t>
      </w:r>
      <w:r>
        <w:rPr>
          <w:rFonts w:hint="eastAsia" w:eastAsia="仿宋_GB2312"/>
          <w:sz w:val="32"/>
          <w:szCs w:val="32"/>
        </w:rPr>
        <w:t>凡与区内重点用人单位签订三年以上的工作合同且每年在开发区工作六个月以上的柔性引进人才，可按其学历、职称和实际工作时间享受与正式引进人才一致的住房租赁补贴（累计不超过36个月）或由管委会提供免费人才公寓，也可享受与正式引进人才相同的区内购房政策，并可按管理权限在开发区参加相应的职称评定。</w:t>
      </w:r>
    </w:p>
    <w:p>
      <w:pPr>
        <w:spacing w:line="600" w:lineRule="exact"/>
        <w:ind w:firstLine="645"/>
        <w:rPr>
          <w:rFonts w:hint="eastAsia" w:eastAsia="仿宋_GB2312"/>
          <w:sz w:val="32"/>
          <w:szCs w:val="32"/>
        </w:rPr>
      </w:pPr>
      <w:r>
        <w:rPr>
          <w:rFonts w:hint="eastAsia" w:ascii="楷体_GB2312" w:eastAsia="楷体_GB2312"/>
          <w:sz w:val="32"/>
          <w:szCs w:val="32"/>
        </w:rPr>
        <w:t>（二）提供康养假期：</w:t>
      </w:r>
      <w:r>
        <w:rPr>
          <w:rFonts w:hint="eastAsia" w:eastAsia="仿宋_GB2312"/>
          <w:sz w:val="32"/>
          <w:szCs w:val="32"/>
        </w:rPr>
        <w:t>凡与开发区内重点用人单位签订三年以上工作合同且每年连续工作满九个月以上的已退休高层次候鸟人才，其本人在开发区工作每累计满十二个月，可在海南省任意市县享受一个月的免费康养假期。选择在洋浦区域休养的，由人才部门安排在国际高端社区；选择其他市县休养的，可享受不低于5000元/月的康养补贴。</w:t>
      </w:r>
    </w:p>
    <w:p>
      <w:pPr>
        <w:spacing w:line="600" w:lineRule="exact"/>
        <w:ind w:firstLine="645"/>
        <w:rPr>
          <w:rFonts w:hint="eastAsia" w:eastAsia="仿宋_GB2312"/>
          <w:sz w:val="32"/>
          <w:szCs w:val="32"/>
        </w:rPr>
      </w:pPr>
      <w:r>
        <w:rPr>
          <w:rFonts w:hint="eastAsia" w:ascii="楷体_GB2312" w:eastAsia="楷体_GB2312"/>
          <w:sz w:val="32"/>
          <w:szCs w:val="32"/>
        </w:rPr>
        <w:t>（三）提供免费健康体检：</w:t>
      </w:r>
      <w:r>
        <w:rPr>
          <w:rFonts w:hint="eastAsia" w:eastAsia="仿宋_GB2312"/>
          <w:sz w:val="32"/>
          <w:szCs w:val="32"/>
        </w:rPr>
        <w:t>重点用人单位柔性引进的人才，在服务期内工作每满一年，可享受一次免费健康体检。</w:t>
      </w:r>
    </w:p>
    <w:p>
      <w:pPr>
        <w:spacing w:line="600" w:lineRule="exact"/>
        <w:ind w:firstLine="645"/>
        <w:rPr>
          <w:rFonts w:hint="eastAsia" w:ascii="黑体" w:hAnsi="黑体" w:eastAsia="黑体"/>
          <w:sz w:val="32"/>
          <w:szCs w:val="32"/>
        </w:rPr>
      </w:pPr>
      <w:r>
        <w:rPr>
          <w:rFonts w:hint="eastAsia" w:ascii="黑体" w:hAnsi="黑体" w:eastAsia="黑体"/>
          <w:sz w:val="32"/>
          <w:szCs w:val="32"/>
        </w:rPr>
        <w:t>十、协助办理区内重大龙头企业人才用车保障</w:t>
      </w:r>
    </w:p>
    <w:p>
      <w:pPr>
        <w:spacing w:line="600" w:lineRule="exact"/>
        <w:ind w:firstLine="645"/>
        <w:rPr>
          <w:rFonts w:hint="eastAsia" w:eastAsia="仿宋_GB2312"/>
          <w:sz w:val="32"/>
          <w:szCs w:val="32"/>
        </w:rPr>
      </w:pPr>
      <w:r>
        <w:rPr>
          <w:rFonts w:hint="eastAsia" w:eastAsia="仿宋_GB2312"/>
          <w:sz w:val="32"/>
          <w:szCs w:val="32"/>
        </w:rPr>
        <w:t>涉及开发区发展的重大龙头企业和项目，可参照《海南省优化总部企业团队引才服务保障办法（试行）》的规定，向开发区管委会提出汽油小客车使用需求，由洋浦工委组织部代为向省委人才局进行专项申报，经批准的，可允许企业人才名下符合我省尾气排放标准的自用小客车直接办理省外车辆转入登记。</w:t>
      </w:r>
    </w:p>
    <w:p>
      <w:pPr>
        <w:spacing w:line="600" w:lineRule="exact"/>
        <w:ind w:firstLine="645"/>
        <w:rPr>
          <w:rFonts w:hint="eastAsia" w:eastAsia="仿宋_GB2312"/>
          <w:sz w:val="32"/>
          <w:szCs w:val="32"/>
        </w:rPr>
      </w:pPr>
      <w:r>
        <w:rPr>
          <w:rFonts w:hint="eastAsia" w:eastAsia="仿宋_GB2312"/>
          <w:sz w:val="32"/>
          <w:szCs w:val="32"/>
        </w:rPr>
        <w:t>以上十项措施中涉及的高层次人才是指开发区2018年5月13日以后引进的符合《海南省高层次人才分类标准（2019）》（琼人才办[2019]13号），且列入洋浦经济开发区重点用人单位（重点行业单位、重大招商项目）清单的人才。重点用人单位清单定期公布，动态调整。</w:t>
      </w:r>
    </w:p>
    <w:p>
      <w:pPr>
        <w:spacing w:line="600" w:lineRule="exact"/>
        <w:ind w:firstLine="645"/>
        <w:rPr>
          <w:rFonts w:eastAsia="仿宋_GB2312"/>
          <w:sz w:val="32"/>
          <w:szCs w:val="32"/>
        </w:rPr>
      </w:pPr>
      <w:r>
        <w:rPr>
          <w:rFonts w:hint="eastAsia" w:eastAsia="仿宋_GB2312"/>
          <w:sz w:val="32"/>
          <w:szCs w:val="32"/>
        </w:rPr>
        <w:t>本措施由洋浦工委组织部、洋浦人事劳动保障局负责解释，自发布之日起实施，试行一年，根据试行情况适时作出调整。</w:t>
      </w:r>
    </w:p>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p>
      <w:pPr>
        <w:rPr>
          <w:rFonts w:hint="eastAsia" w:ascii="仿宋_GB2312" w:hAnsi="宋体" w:eastAsia="仿宋_GB2312"/>
          <w:sz w:val="32"/>
          <w:szCs w:val="32"/>
        </w:rPr>
      </w:pPr>
    </w:p>
    <w:tbl>
      <w:tblPr>
        <w:tblStyle w:val="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07"/>
        <w:gridCol w:w="38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5107" w:type="dxa"/>
            <w:tcBorders>
              <w:right w:val="nil"/>
            </w:tcBorders>
            <w:noWrap w:val="0"/>
            <w:vAlign w:val="center"/>
          </w:tcPr>
          <w:p>
            <w:pPr>
              <w:ind w:firstLine="140" w:firstLineChars="50"/>
              <w:rPr>
                <w:rFonts w:hint="eastAsia" w:ascii="仿宋_GB2312" w:hAnsi="宋体" w:eastAsia="仿宋_GB2312"/>
                <w:sz w:val="28"/>
                <w:szCs w:val="28"/>
              </w:rPr>
            </w:pPr>
            <w:r>
              <w:rPr>
                <w:rFonts w:hint="eastAsia" w:ascii="仿宋_GB2312" w:hAnsi="宋体" w:eastAsia="仿宋_GB2312"/>
                <w:sz w:val="28"/>
                <w:szCs w:val="28"/>
              </w:rPr>
              <w:t xml:space="preserve">中共洋浦工委办公室        </w:t>
            </w:r>
          </w:p>
        </w:tc>
        <w:tc>
          <w:tcPr>
            <w:tcW w:w="3896" w:type="dxa"/>
            <w:tcBorders>
              <w:left w:val="nil"/>
            </w:tcBorders>
            <w:noWrap w:val="0"/>
            <w:vAlign w:val="center"/>
          </w:tcPr>
          <w:p>
            <w:pPr>
              <w:ind w:firstLine="560" w:firstLineChars="200"/>
              <w:jc w:val="right"/>
              <w:rPr>
                <w:rFonts w:hint="eastAsia" w:ascii="仿宋_GB2312" w:hAnsi="宋体" w:eastAsia="仿宋_GB2312"/>
                <w:sz w:val="28"/>
                <w:szCs w:val="28"/>
              </w:rPr>
            </w:pPr>
            <w:r>
              <w:rPr>
                <w:rFonts w:hint="eastAsia" w:ascii="仿宋_GB2312" w:hAnsi="宋体" w:eastAsia="仿宋_GB2312"/>
                <w:sz w:val="28"/>
                <w:szCs w:val="28"/>
              </w:rPr>
              <w:t>2020年1月10日印发</w:t>
            </w:r>
          </w:p>
        </w:tc>
      </w:tr>
    </w:tbl>
    <w:p>
      <w:pPr>
        <w:wordWrap w:val="0"/>
        <w:spacing w:line="20" w:lineRule="exact"/>
        <w:jc w:val="right"/>
        <w:rPr>
          <w:rFonts w:hint="eastAsia" w:ascii="仿宋_GB2312" w:eastAsia="仿宋_GB2312"/>
          <w:sz w:val="10"/>
          <w:szCs w:val="10"/>
        </w:rPr>
      </w:pPr>
    </w:p>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lear" w:pos="4153"/>
        <w:tab w:val="clear" w:pos="8306"/>
      </w:tabs>
      <w:rPr>
        <w:rStyle w:val="8"/>
      </w:rPr>
    </w:pPr>
    <w:r>
      <w:fldChar w:fldCharType="begin"/>
    </w:r>
    <w:r>
      <w:rPr>
        <w:rStyle w:val="8"/>
      </w:rPr>
      <w:instrText xml:space="preserve">PAGE  </w:instrText>
    </w:r>
    <w:r>
      <w:fldChar w:fldCharType="separate"/>
    </w:r>
    <w:r>
      <w:t xml:space="preserve"> </w:t>
    </w:r>
    <w:r>
      <w:fldChar w:fldCharType="end"/>
    </w:r>
  </w:p>
  <w:p>
    <w:pPr>
      <w:pStyle w:val="2"/>
      <w:tabs>
        <w:tab w:val="clear" w:pos="4153"/>
        <w:tab w:val="clear"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D693C"/>
    <w:rsid w:val="26F0668C"/>
    <w:rsid w:val="2F9D693C"/>
    <w:rsid w:val="3AEB30ED"/>
    <w:rsid w:val="791A6C59"/>
    <w:rsid w:val="7BF42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 w:type="paragraph" w:customStyle="1" w:styleId="10">
    <w:name w:val="p0"/>
    <w:basedOn w:val="1"/>
    <w:uiPriority w:val="0"/>
    <w:pPr>
      <w:widowControl/>
      <w:spacing w:before="100" w:beforeAutospacing="1" w:after="100" w:afterAutospacing="1"/>
      <w:jc w:val="left"/>
    </w:pPr>
    <w:rPr>
      <w:rFonts w:asci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2009-06-30T16:41:00Z</dcterms:created>
  <dc:creator>Administrator</dc:creator>
  <cp:lastModifiedBy>Administrator</cp:lastModifiedBy>
  <dcterms:modified xsi:type="dcterms:W3CDTF">2009-06-30T16:53:30Z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