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20</w:t>
      </w:r>
      <w:r>
        <w:rPr>
          <w:rFonts w:hint="eastAsia" w:ascii="宋体" w:hAnsi="宋体" w:eastAsia="宋体" w:cs="宋体"/>
          <w:b/>
          <w:bCs/>
          <w:sz w:val="36"/>
          <w:szCs w:val="36"/>
          <w:highlight w:val="none"/>
          <w:lang w:val="en-US" w:eastAsia="zh-CN"/>
        </w:rPr>
        <w:t>21</w:t>
      </w:r>
      <w:r>
        <w:rPr>
          <w:rFonts w:hint="eastAsia" w:ascii="宋体" w:hAnsi="宋体" w:eastAsia="宋体" w:cs="宋体"/>
          <w:b/>
          <w:bCs/>
          <w:sz w:val="36"/>
          <w:szCs w:val="36"/>
          <w:highlight w:val="none"/>
        </w:rPr>
        <w:t>年莆田市涵江区公开招聘新任教师方案</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sz w:val="30"/>
          <w:szCs w:val="30"/>
        </w:rPr>
      </w:pPr>
    </w:p>
    <w:p>
      <w:pPr>
        <w:keepNext w:val="0"/>
        <w:keepLines w:val="0"/>
        <w:pageBreakBefore w:val="0"/>
        <w:widowControl w:val="0"/>
        <w:tabs>
          <w:tab w:val="left" w:pos="720"/>
        </w:tabs>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为了进一步优化师资队伍结构，提升教师队伍整体水平,根据省教育厅、省人力资源和社会保障厅、省委编办《关于做好20</w:t>
      </w:r>
      <w:r>
        <w:rPr>
          <w:rFonts w:hint="eastAsia" w:ascii="仿宋_GB2312" w:hAnsi="仿宋" w:eastAsia="仿宋_GB2312"/>
          <w:sz w:val="32"/>
          <w:szCs w:val="32"/>
          <w:highlight w:val="none"/>
          <w:lang w:val="en-US" w:eastAsia="zh-CN"/>
        </w:rPr>
        <w:t>21</w:t>
      </w:r>
      <w:r>
        <w:rPr>
          <w:rFonts w:hint="eastAsia" w:ascii="仿宋_GB2312" w:hAnsi="仿宋" w:eastAsia="仿宋_GB2312"/>
          <w:sz w:val="32"/>
          <w:szCs w:val="32"/>
          <w:highlight w:val="none"/>
        </w:rPr>
        <w:t>年全省中小学幼儿园新任教师公开招聘工作的通知》（闽教</w:t>
      </w:r>
      <w:r>
        <w:rPr>
          <w:rFonts w:hint="eastAsia" w:ascii="仿宋_GB2312" w:hAnsi="仿宋" w:eastAsia="仿宋_GB2312"/>
          <w:sz w:val="32"/>
          <w:szCs w:val="32"/>
          <w:highlight w:val="none"/>
          <w:lang w:eastAsia="zh-CN"/>
        </w:rPr>
        <w:t>师</w:t>
      </w:r>
      <w:r>
        <w:rPr>
          <w:rFonts w:hint="eastAsia" w:ascii="仿宋_GB2312" w:hAnsi="仿宋" w:eastAsia="仿宋_GB2312"/>
          <w:sz w:val="32"/>
          <w:szCs w:val="32"/>
          <w:highlight w:val="none"/>
        </w:rPr>
        <w:t>〔20</w:t>
      </w:r>
      <w:r>
        <w:rPr>
          <w:rFonts w:hint="default" w:ascii="仿宋_GB2312" w:hAnsi="仿宋" w:eastAsia="仿宋_GB2312"/>
          <w:sz w:val="32"/>
          <w:szCs w:val="32"/>
          <w:highlight w:val="none"/>
          <w:lang w:val="en-US"/>
        </w:rPr>
        <w:t>2</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w:t>
      </w:r>
      <w:r>
        <w:rPr>
          <w:rFonts w:hint="default"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号）文件精神，结合我区教师队伍实际情况，特制定涵江区20</w:t>
      </w:r>
      <w:r>
        <w:rPr>
          <w:rFonts w:hint="default" w:ascii="仿宋_GB2312" w:hAnsi="仿宋" w:eastAsia="仿宋_GB2312"/>
          <w:sz w:val="32"/>
          <w:szCs w:val="32"/>
          <w:highlight w:val="none"/>
          <w:lang w:val="en-US"/>
        </w:rPr>
        <w:t>2</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年公开招聘新任教师工作方案如下：</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仿宋_GB2312"/>
          <w:kern w:val="2"/>
          <w:sz w:val="32"/>
          <w:szCs w:val="32"/>
        </w:rPr>
      </w:pPr>
      <w:r>
        <w:rPr>
          <w:rFonts w:hint="eastAsia" w:ascii="黑体" w:hAnsi="黑体" w:eastAsia="黑体" w:cs="仿宋_GB2312"/>
          <w:kern w:val="2"/>
          <w:sz w:val="32"/>
          <w:szCs w:val="32"/>
        </w:rPr>
        <w:t>一、</w:t>
      </w:r>
      <w:r>
        <w:rPr>
          <w:rFonts w:hint="eastAsia" w:ascii="黑体" w:hAnsi="黑体" w:eastAsia="黑体" w:cs="黑体"/>
          <w:sz w:val="32"/>
          <w:szCs w:val="32"/>
        </w:rPr>
        <w:t>招聘对象</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面向全国，年龄30周岁</w:t>
      </w:r>
      <w:r>
        <w:rPr>
          <w:rFonts w:hint="eastAsia" w:ascii="仿宋_GB2312" w:hAnsi="仿宋" w:eastAsia="仿宋_GB2312"/>
          <w:sz w:val="32"/>
          <w:szCs w:val="32"/>
          <w:highlight w:val="none"/>
          <w:lang w:eastAsia="zh-CN"/>
        </w:rPr>
        <w:t>及</w:t>
      </w:r>
      <w:r>
        <w:rPr>
          <w:rFonts w:hint="eastAsia" w:ascii="仿宋_GB2312" w:hAnsi="仿宋" w:eastAsia="仿宋_GB2312"/>
          <w:sz w:val="32"/>
          <w:szCs w:val="32"/>
          <w:highlight w:val="none"/>
        </w:rPr>
        <w:t>以下（即19</w:t>
      </w:r>
      <w:r>
        <w:rPr>
          <w:rFonts w:hint="eastAsia" w:ascii="仿宋_GB2312" w:hAnsi="仿宋" w:eastAsia="仿宋_GB2312"/>
          <w:sz w:val="32"/>
          <w:szCs w:val="32"/>
          <w:highlight w:val="none"/>
          <w:lang w:val="en-US" w:eastAsia="zh-CN"/>
        </w:rPr>
        <w:t>90</w:t>
      </w:r>
      <w:r>
        <w:rPr>
          <w:rFonts w:hint="eastAsia" w:ascii="仿宋_GB2312" w:hAnsi="仿宋" w:eastAsia="仿宋_GB2312"/>
          <w:sz w:val="32"/>
          <w:szCs w:val="32"/>
          <w:highlight w:val="none"/>
        </w:rPr>
        <w:t>年3月及以后出生）的应往届</w:t>
      </w:r>
      <w:r>
        <w:rPr>
          <w:rFonts w:hint="eastAsia" w:ascii="仿宋_GB2312" w:hAnsi="仿宋" w:eastAsia="仿宋_GB2312"/>
          <w:sz w:val="32"/>
          <w:szCs w:val="32"/>
          <w:highlight w:val="none"/>
          <w:lang w:eastAsia="zh-CN"/>
        </w:rPr>
        <w:t>师范教育类专业</w:t>
      </w:r>
      <w:r>
        <w:rPr>
          <w:rFonts w:hint="eastAsia" w:ascii="仿宋_GB2312" w:hAnsi="仿宋" w:eastAsia="仿宋_GB2312"/>
          <w:sz w:val="32"/>
          <w:szCs w:val="32"/>
          <w:highlight w:val="none"/>
        </w:rPr>
        <w:t>毕业生，行政、事业单位在编人员不得报名。</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招聘岗位、人数、条件</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val="en-US" w:eastAsia="zh-CN"/>
        </w:rPr>
        <w:t>24</w:t>
      </w:r>
      <w:r>
        <w:rPr>
          <w:rFonts w:hint="eastAsia" w:ascii="黑体" w:hAnsi="黑体" w:eastAsia="黑体" w:cs="黑体"/>
          <w:b w:val="0"/>
          <w:bCs/>
          <w:sz w:val="32"/>
          <w:szCs w:val="32"/>
          <w:highlight w:val="none"/>
        </w:rPr>
        <w:t>个岗位</w:t>
      </w:r>
      <w:r>
        <w:rPr>
          <w:rFonts w:hint="eastAsia" w:ascii="黑体" w:hAnsi="黑体" w:eastAsia="黑体" w:cs="黑体"/>
          <w:b w:val="0"/>
          <w:bCs/>
          <w:sz w:val="32"/>
          <w:szCs w:val="32"/>
          <w:highlight w:val="none"/>
          <w:lang w:eastAsia="zh-CN"/>
        </w:rPr>
        <w:t>，</w:t>
      </w:r>
      <w:r>
        <w:rPr>
          <w:rFonts w:hint="eastAsia" w:ascii="黑体" w:hAnsi="黑体" w:eastAsia="黑体" w:cs="黑体"/>
          <w:b w:val="0"/>
          <w:bCs/>
          <w:sz w:val="32"/>
          <w:szCs w:val="32"/>
          <w:highlight w:val="none"/>
        </w:rPr>
        <w:t>共</w:t>
      </w:r>
      <w:r>
        <w:rPr>
          <w:rFonts w:hint="eastAsia" w:ascii="黑体" w:hAnsi="黑体" w:eastAsia="黑体" w:cs="黑体"/>
          <w:b w:val="0"/>
          <w:bCs/>
          <w:sz w:val="32"/>
          <w:szCs w:val="32"/>
          <w:highlight w:val="none"/>
          <w:lang w:val="en-US" w:eastAsia="zh-CN"/>
        </w:rPr>
        <w:t>168</w:t>
      </w:r>
      <w:r>
        <w:rPr>
          <w:rFonts w:hint="eastAsia" w:ascii="黑体" w:hAnsi="黑体" w:eastAsia="黑体" w:cs="黑体"/>
          <w:b w:val="0"/>
          <w:bCs/>
          <w:sz w:val="32"/>
          <w:szCs w:val="32"/>
          <w:highlight w:val="none"/>
          <w:lang w:eastAsia="zh-CN"/>
        </w:rPr>
        <w:t>人</w:t>
      </w:r>
      <w:r>
        <w:rPr>
          <w:rFonts w:hint="eastAsia" w:ascii="黑体" w:hAnsi="黑体" w:eastAsia="黑体" w:cs="黑体"/>
          <w:b w:val="0"/>
          <w:bCs/>
          <w:sz w:val="32"/>
          <w:szCs w:val="32"/>
          <w:highlight w:val="none"/>
        </w:rPr>
        <w:t>）</w:t>
      </w:r>
    </w:p>
    <w:tbl>
      <w:tblPr>
        <w:tblStyle w:val="5"/>
        <w:tblpPr w:leftFromText="180" w:rightFromText="180" w:vertAnchor="text" w:horzAnchor="page" w:tblpX="1560" w:tblpY="90"/>
        <w:tblOverlap w:val="never"/>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76"/>
        <w:gridCol w:w="857"/>
        <w:gridCol w:w="697"/>
        <w:gridCol w:w="1130"/>
        <w:gridCol w:w="1130"/>
        <w:gridCol w:w="1131"/>
        <w:gridCol w:w="172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blHeader/>
          <w:jc w:val="center"/>
        </w:trPr>
        <w:tc>
          <w:tcPr>
            <w:tcW w:w="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序号</w:t>
            </w: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学校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类别</w:t>
            </w: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招聘</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岗位</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sz w:val="21"/>
                <w:szCs w:val="21"/>
                <w:highlight w:val="none"/>
                <w:lang w:eastAsia="zh-CN"/>
              </w:rPr>
            </w:pPr>
            <w:r>
              <w:rPr>
                <w:rFonts w:hint="eastAsia" w:ascii="宋体" w:hAnsi="宋体" w:eastAsia="宋体" w:cs="宋体"/>
                <w:b/>
                <w:bCs/>
                <w:spacing w:val="-6"/>
                <w:sz w:val="21"/>
                <w:szCs w:val="21"/>
                <w:highlight w:val="none"/>
                <w:lang w:eastAsia="zh-CN"/>
              </w:rPr>
              <w:t>招考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人数</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b/>
                <w:bCs/>
                <w:spacing w:val="-6"/>
                <w:sz w:val="21"/>
                <w:szCs w:val="21"/>
                <w:highlight w:val="none"/>
              </w:rPr>
              <w:t>学历</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sz w:val="21"/>
                <w:szCs w:val="21"/>
                <w:highlight w:val="none"/>
                <w:lang w:eastAsia="zh-CN"/>
              </w:rPr>
            </w:pPr>
            <w:r>
              <w:rPr>
                <w:rFonts w:hint="eastAsia" w:ascii="宋体" w:hAnsi="宋体" w:eastAsia="宋体" w:cs="宋体"/>
                <w:b/>
                <w:bCs/>
                <w:spacing w:val="-6"/>
                <w:sz w:val="21"/>
                <w:szCs w:val="21"/>
                <w:highlight w:val="none"/>
                <w:lang w:eastAsia="zh-CN"/>
              </w:rPr>
              <w:t>学位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sz w:val="21"/>
                <w:szCs w:val="21"/>
                <w:highlight w:val="none"/>
                <w:lang w:eastAsia="zh-CN"/>
              </w:rPr>
            </w:pPr>
            <w:r>
              <w:rPr>
                <w:rFonts w:hint="eastAsia" w:ascii="宋体" w:hAnsi="宋体" w:eastAsia="宋体" w:cs="宋体"/>
                <w:b/>
                <w:bCs/>
                <w:spacing w:val="-6"/>
                <w:sz w:val="21"/>
                <w:szCs w:val="21"/>
                <w:highlight w:val="none"/>
                <w:lang w:eastAsia="zh-CN"/>
              </w:rPr>
              <w:t>专业</w:t>
            </w:r>
          </w:p>
        </w:tc>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普通话</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lang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w:t>
            </w:r>
          </w:p>
        </w:tc>
        <w:tc>
          <w:tcPr>
            <w:tcW w:w="7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高中</w:t>
            </w: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语文</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10</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本科及以上学历</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学士或以上学位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师范教育类专业</w:t>
            </w:r>
          </w:p>
        </w:tc>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相应学科的高中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二级甲等及以上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eastAsia="zh-CN"/>
              </w:rPr>
              <w:t>数学</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7</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本科及以上学历</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学士或以上学位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师范教育类专业</w:t>
            </w:r>
          </w:p>
        </w:tc>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相应学科的高中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英语</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6</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本科及以上学历</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学士或以上学位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师范教育类专业</w:t>
            </w:r>
          </w:p>
        </w:tc>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相应学科的高中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物理</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3</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本科及以上学历</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学士或以上学位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师范教育类专业</w:t>
            </w:r>
          </w:p>
        </w:tc>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相应学科的高中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思想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政治</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5</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本科及以上学历</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学士或以上学位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师范教育类专业</w:t>
            </w:r>
          </w:p>
        </w:tc>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相应学科的高中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历史</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4</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本科及以上学历</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学士或以上学位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师范教育类专业</w:t>
            </w:r>
          </w:p>
        </w:tc>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相应学科的高中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地理</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5</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本科及以上学历</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学士或以上学位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师范教育类专业</w:t>
            </w:r>
          </w:p>
        </w:tc>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相应学科的高中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体育</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1</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本科及以上学历</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学士或以上学位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师范教育类专业</w:t>
            </w:r>
          </w:p>
        </w:tc>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相应学科的高中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val="en-US" w:eastAsia="zh-CN"/>
              </w:rPr>
              <w:t>2</w:t>
            </w:r>
          </w:p>
        </w:tc>
        <w:tc>
          <w:tcPr>
            <w:tcW w:w="7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初中</w:t>
            </w: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语文</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val="en-US" w:eastAsia="zh-CN"/>
              </w:rPr>
              <w:t>5</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本科及以上学历</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学士或以上学位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师范教育类专业</w:t>
            </w:r>
          </w:p>
        </w:tc>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相应学科的初中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rPr>
              <w:t>二级甲等及以上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数学</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val="en-US" w:eastAsia="zh-CN"/>
              </w:rPr>
              <w:t>6</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本科及以上学历</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学士或以上学位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师范教育类专业</w:t>
            </w:r>
          </w:p>
        </w:tc>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相应学科的初中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英语</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val="en-US" w:eastAsia="zh-CN"/>
              </w:rPr>
              <w:t>6</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本科及以上学历</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学士或以上学位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师范教育类专业</w:t>
            </w:r>
          </w:p>
        </w:tc>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相应学科的初中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物理</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val="en-US" w:eastAsia="zh-CN"/>
              </w:rPr>
              <w:t>4</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本科及以上学历</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学士或以上学位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师范教育类专业</w:t>
            </w:r>
          </w:p>
        </w:tc>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相应学科的初中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道德与法治</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val="en-US" w:eastAsia="zh-CN"/>
              </w:rPr>
              <w:t>1</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本科及以上学历</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学士或以上学位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师范教育类专业</w:t>
            </w:r>
          </w:p>
        </w:tc>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相应学科的初中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历史</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val="en-US" w:eastAsia="zh-CN"/>
              </w:rPr>
              <w:t>3</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本科及以上学历</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学士或以上学位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师范教育类专业</w:t>
            </w:r>
          </w:p>
        </w:tc>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相应学科的初中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地理</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val="en-US" w:eastAsia="zh-CN"/>
              </w:rPr>
              <w:t>2</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本科及以上学历</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学士或以上学位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师范教育类专业</w:t>
            </w:r>
          </w:p>
        </w:tc>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相应学科的初中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sz w:val="21"/>
                <w:szCs w:val="21"/>
                <w:highlight w:val="none"/>
              </w:rPr>
              <w:t>二级乙等及以上</w:t>
            </w:r>
          </w:p>
        </w:tc>
      </w:tr>
    </w:tbl>
    <w:tbl>
      <w:tblPr>
        <w:tblStyle w:val="5"/>
        <w:tblpPr w:leftFromText="180" w:rightFromText="180" w:vertAnchor="text" w:horzAnchor="page" w:tblpX="1560" w:tblpY="102"/>
        <w:tblOverlap w:val="never"/>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76"/>
        <w:gridCol w:w="857"/>
        <w:gridCol w:w="697"/>
        <w:gridCol w:w="1131"/>
        <w:gridCol w:w="1110"/>
        <w:gridCol w:w="1140"/>
        <w:gridCol w:w="174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pacing w:val="-6"/>
                <w:sz w:val="21"/>
                <w:szCs w:val="21"/>
                <w:highlight w:val="none"/>
              </w:rPr>
              <w:t>序号</w:t>
            </w: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学校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pacing w:val="-6"/>
                <w:sz w:val="21"/>
                <w:szCs w:val="21"/>
                <w:highlight w:val="none"/>
              </w:rPr>
              <w:t>类别</w:t>
            </w: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招聘</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pacing w:val="-6"/>
                <w:sz w:val="21"/>
                <w:szCs w:val="21"/>
                <w:highlight w:val="none"/>
              </w:rPr>
              <w:t>岗位</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sz w:val="21"/>
                <w:szCs w:val="21"/>
                <w:highlight w:val="none"/>
                <w:lang w:eastAsia="zh-CN"/>
              </w:rPr>
            </w:pPr>
            <w:r>
              <w:rPr>
                <w:rFonts w:hint="eastAsia" w:ascii="宋体" w:hAnsi="宋体" w:eastAsia="宋体" w:cs="宋体"/>
                <w:b/>
                <w:bCs/>
                <w:spacing w:val="-6"/>
                <w:sz w:val="21"/>
                <w:szCs w:val="21"/>
                <w:highlight w:val="none"/>
                <w:lang w:eastAsia="zh-CN"/>
              </w:rPr>
              <w:t>招考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pacing w:val="-6"/>
                <w:sz w:val="21"/>
                <w:szCs w:val="21"/>
                <w:highlight w:val="none"/>
              </w:rPr>
              <w:t>人数</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b/>
                <w:bCs/>
                <w:spacing w:val="-6"/>
                <w:sz w:val="21"/>
                <w:szCs w:val="21"/>
                <w:highlight w:val="none"/>
              </w:rPr>
              <w:t>学历</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sz w:val="21"/>
                <w:szCs w:val="21"/>
                <w:highlight w:val="none"/>
                <w:lang w:eastAsia="zh-CN"/>
              </w:rPr>
            </w:pPr>
            <w:r>
              <w:rPr>
                <w:rFonts w:hint="eastAsia" w:ascii="宋体" w:hAnsi="宋体" w:eastAsia="宋体" w:cs="宋体"/>
                <w:b/>
                <w:bCs/>
                <w:spacing w:val="-6"/>
                <w:sz w:val="21"/>
                <w:szCs w:val="21"/>
                <w:highlight w:val="none"/>
                <w:lang w:eastAsia="zh-CN"/>
              </w:rPr>
              <w:t>学位</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pacing w:val="-6"/>
                <w:sz w:val="21"/>
                <w:szCs w:val="21"/>
                <w:highlight w:val="none"/>
                <w:lang w:eastAsia="zh-CN"/>
              </w:rPr>
              <w:t>专业</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pacing w:val="-6"/>
                <w:sz w:val="21"/>
                <w:szCs w:val="21"/>
                <w:highlight w:val="none"/>
              </w:rPr>
              <w:t>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普通话</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pacing w:val="-6"/>
                <w:sz w:val="21"/>
                <w:szCs w:val="21"/>
                <w:highlight w:val="none"/>
                <w:lang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val="en-US" w:eastAsia="zh-CN"/>
              </w:rPr>
              <w:t>3</w:t>
            </w:r>
          </w:p>
        </w:tc>
        <w:tc>
          <w:tcPr>
            <w:tcW w:w="7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小学</w:t>
            </w: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语文</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37</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大专及以上学历</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不限</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师范教育类专业</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相应学科的小学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二级甲等及以上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eastAsia="zh-CN"/>
              </w:rPr>
              <w:t>数学</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32</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大专及以上学历</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不限</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师范教育类专业</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相应学科的小学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英语</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5</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大专及以上学历</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不限</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师范教育类专业</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相应学科的小学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音乐</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3</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大专及以上学历</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不限</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师范教育类专业</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相应学科的小学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美术</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3</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大专及以上学历</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不限</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师范教育类专业</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相应学科的小学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体育</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3</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大专及以上学历</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不限</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师范教育类专业</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相应学科的小学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信息</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技术</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3</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大专及以上学历</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不限</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师范教育类专业</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相应学科的小学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p>
        </w:tc>
        <w:tc>
          <w:tcPr>
            <w:tcW w:w="7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心理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健康</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2</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大专及以上学历</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不限</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师范教育类专业</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相应学科的小学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及以上教师资格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4</w:t>
            </w:r>
          </w:p>
        </w:tc>
        <w:tc>
          <w:tcPr>
            <w:tcW w:w="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幼儿园</w:t>
            </w:r>
          </w:p>
        </w:tc>
        <w:tc>
          <w:tcPr>
            <w:tcW w:w="8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幼儿园</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12</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eastAsia="zh-CN"/>
              </w:rPr>
              <w:t>大专及以上学历</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不限</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师范教育类专业</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幼儿园教师资格</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二级乙等及以上</w:t>
            </w:r>
          </w:p>
        </w:tc>
      </w:tr>
    </w:tbl>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其他条件要求：</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rPr>
        <w:t>政治思想合格，品行端正，具备良好的职业道德，身体健康。</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2.招聘对象</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毕业证书、</w:t>
      </w:r>
      <w:r>
        <w:rPr>
          <w:rFonts w:hint="eastAsia" w:ascii="仿宋_GB2312" w:hAnsi="仿宋_GB2312" w:eastAsia="仿宋_GB2312" w:cs="仿宋_GB2312"/>
          <w:sz w:val="32"/>
          <w:szCs w:val="32"/>
          <w:highlight w:val="none"/>
          <w:lang w:eastAsia="zh-CN"/>
        </w:rPr>
        <w:t>学位证书、</w:t>
      </w:r>
      <w:r>
        <w:rPr>
          <w:rFonts w:hint="eastAsia" w:ascii="仿宋_GB2312" w:hAnsi="仿宋_GB2312" w:eastAsia="仿宋_GB2312" w:cs="仿宋_GB2312"/>
          <w:sz w:val="32"/>
          <w:szCs w:val="32"/>
          <w:highlight w:val="none"/>
        </w:rPr>
        <w:t>教师资格证书等须在2021年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月前取得</w:t>
      </w:r>
      <w:r>
        <w:rPr>
          <w:rFonts w:hint="eastAsia" w:ascii="仿宋_GB2312" w:hAnsi="仿宋_GB2312" w:eastAsia="仿宋_GB2312" w:cs="仿宋_GB2312"/>
          <w:kern w:val="2"/>
          <w:sz w:val="32"/>
          <w:szCs w:val="32"/>
          <w:highlight w:val="none"/>
        </w:rPr>
        <w:t>（研究生</w:t>
      </w:r>
      <w:r>
        <w:rPr>
          <w:rFonts w:hint="eastAsia" w:ascii="仿宋_GB2312" w:hAnsi="仿宋_GB2312" w:eastAsia="仿宋_GB2312" w:cs="仿宋_GB2312"/>
          <w:kern w:val="2"/>
          <w:sz w:val="32"/>
          <w:szCs w:val="32"/>
          <w:highlight w:val="none"/>
          <w:lang w:eastAsia="zh-CN"/>
        </w:rPr>
        <w:t>的</w:t>
      </w:r>
      <w:r>
        <w:rPr>
          <w:rFonts w:hint="eastAsia" w:ascii="仿宋_GB2312" w:hAnsi="仿宋_GB2312" w:eastAsia="仿宋_GB2312" w:cs="仿宋_GB2312"/>
          <w:kern w:val="2"/>
          <w:sz w:val="32"/>
          <w:szCs w:val="32"/>
          <w:highlight w:val="none"/>
        </w:rPr>
        <w:t>毕业证书</w:t>
      </w:r>
      <w:r>
        <w:rPr>
          <w:rFonts w:hint="eastAsia" w:ascii="仿宋_GB2312" w:hAnsi="仿宋_GB2312" w:eastAsia="仿宋_GB2312" w:cs="仿宋_GB2312"/>
          <w:kern w:val="2"/>
          <w:sz w:val="32"/>
          <w:szCs w:val="32"/>
          <w:highlight w:val="none"/>
          <w:lang w:eastAsia="zh-CN"/>
        </w:rPr>
        <w:t>和学位证书</w:t>
      </w:r>
      <w:r>
        <w:rPr>
          <w:rFonts w:hint="eastAsia" w:ascii="仿宋_GB2312" w:hAnsi="仿宋_GB2312" w:eastAsia="仿宋_GB2312" w:cs="仿宋_GB2312"/>
          <w:kern w:val="2"/>
          <w:sz w:val="32"/>
          <w:szCs w:val="32"/>
          <w:highlight w:val="none"/>
        </w:rPr>
        <w:t>可延至202</w:t>
      </w:r>
      <w:r>
        <w:rPr>
          <w:rFonts w:hint="eastAsia" w:ascii="仿宋_GB2312" w:hAnsi="仿宋_GB2312" w:eastAsia="仿宋_GB2312" w:cs="仿宋_GB2312"/>
          <w:kern w:val="2"/>
          <w:sz w:val="32"/>
          <w:szCs w:val="32"/>
          <w:highlight w:val="none"/>
          <w:lang w:val="en-US" w:eastAsia="zh-CN"/>
        </w:rPr>
        <w:t>1</w:t>
      </w:r>
      <w:r>
        <w:rPr>
          <w:rFonts w:hint="eastAsia" w:ascii="仿宋_GB2312" w:hAnsi="仿宋_GB2312" w:eastAsia="仿宋_GB2312" w:cs="仿宋_GB2312"/>
          <w:kern w:val="2"/>
          <w:sz w:val="32"/>
          <w:szCs w:val="32"/>
          <w:highlight w:val="none"/>
        </w:rPr>
        <w:t>年12月）</w:t>
      </w:r>
      <w:r>
        <w:rPr>
          <w:rFonts w:hint="eastAsia" w:ascii="仿宋_GB2312" w:hAnsi="仿宋_GB2312" w:eastAsia="仿宋_GB2312" w:cs="仿宋_GB2312"/>
          <w:sz w:val="32"/>
          <w:szCs w:val="32"/>
          <w:highlight w:val="none"/>
          <w:lang w:eastAsia="zh-CN"/>
        </w:rPr>
        <w:t>。</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.曾因犯罪受过刑事处罚的人员和曾被开除公职的人员，在各级公务员或事业单位招考中被认定有舞弊等严重违反录用纪律行为的人员，以及具有法律规定不得招聘的其它情形的人员，不得报名。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三、招聘方式</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采取笔试与面试相结合的方式进行。笔试由省教育厅统一组织，资格初审、复核、面试、体检、考</w:t>
      </w:r>
      <w:r>
        <w:rPr>
          <w:rFonts w:hint="eastAsia" w:ascii="仿宋_GB2312" w:hAnsi="仿宋_GB2312" w:eastAsia="仿宋_GB2312" w:cs="仿宋_GB2312"/>
          <w:kern w:val="2"/>
          <w:sz w:val="32"/>
          <w:szCs w:val="32"/>
          <w:lang w:eastAsia="zh-CN"/>
        </w:rPr>
        <w:t>察</w:t>
      </w:r>
      <w:r>
        <w:rPr>
          <w:rFonts w:hint="eastAsia" w:ascii="仿宋_GB2312" w:hAnsi="仿宋_GB2312" w:eastAsia="仿宋_GB2312" w:cs="仿宋_GB2312"/>
          <w:kern w:val="2"/>
          <w:sz w:val="32"/>
          <w:szCs w:val="32"/>
        </w:rPr>
        <w:t>等工作由</w:t>
      </w:r>
      <w:r>
        <w:rPr>
          <w:rFonts w:hint="eastAsia" w:ascii="仿宋_GB2312" w:hAnsi="仿宋" w:eastAsia="仿宋_GB2312"/>
          <w:sz w:val="32"/>
          <w:szCs w:val="32"/>
          <w:highlight w:val="none"/>
        </w:rPr>
        <w:t>涵江区公开招聘新教师工作领导小组</w:t>
      </w:r>
      <w:r>
        <w:rPr>
          <w:rFonts w:hint="eastAsia" w:ascii="仿宋_GB2312" w:hAnsi="仿宋_GB2312" w:eastAsia="仿宋_GB2312" w:cs="仿宋_GB2312"/>
          <w:kern w:val="2"/>
          <w:sz w:val="32"/>
          <w:szCs w:val="32"/>
          <w:highlight w:val="none"/>
        </w:rPr>
        <w:t>组织。具体招聘工作由</w:t>
      </w:r>
      <w:r>
        <w:rPr>
          <w:rFonts w:hint="eastAsia" w:ascii="仿宋_GB2312" w:hAnsi="仿宋_GB2312" w:eastAsia="仿宋_GB2312" w:cs="仿宋_GB2312"/>
          <w:kern w:val="2"/>
          <w:sz w:val="32"/>
          <w:szCs w:val="32"/>
          <w:highlight w:val="none"/>
          <w:lang w:eastAsia="zh-CN"/>
        </w:rPr>
        <w:t>区教育局</w:t>
      </w:r>
      <w:r>
        <w:rPr>
          <w:rFonts w:hint="eastAsia" w:ascii="仿宋_GB2312" w:hAnsi="仿宋_GB2312" w:eastAsia="仿宋_GB2312" w:cs="仿宋_GB2312"/>
          <w:kern w:val="2"/>
          <w:sz w:val="32"/>
          <w:szCs w:val="32"/>
          <w:highlight w:val="none"/>
        </w:rPr>
        <w:t>组织实施，</w:t>
      </w:r>
      <w:r>
        <w:rPr>
          <w:rFonts w:hint="eastAsia" w:ascii="仿宋_GB2312" w:hAnsi="仿宋" w:eastAsia="仿宋_GB2312"/>
          <w:sz w:val="32"/>
          <w:szCs w:val="32"/>
          <w:highlight w:val="none"/>
        </w:rPr>
        <w:t>区</w:t>
      </w:r>
      <w:r>
        <w:rPr>
          <w:rFonts w:hint="eastAsia" w:ascii="仿宋_GB2312" w:hAnsi="仿宋" w:eastAsia="仿宋_GB2312"/>
          <w:sz w:val="32"/>
          <w:szCs w:val="32"/>
          <w:highlight w:val="none"/>
          <w:lang w:eastAsia="zh-CN"/>
        </w:rPr>
        <w:t>人社</w:t>
      </w:r>
      <w:r>
        <w:rPr>
          <w:rFonts w:hint="eastAsia" w:ascii="仿宋_GB2312" w:hAnsi="仿宋" w:eastAsia="仿宋_GB2312"/>
          <w:sz w:val="32"/>
          <w:szCs w:val="32"/>
          <w:highlight w:val="none"/>
        </w:rPr>
        <w:t>局参与对招聘工作组织的指导和实施方案的监管</w:t>
      </w:r>
      <w:r>
        <w:rPr>
          <w:rFonts w:hint="eastAsia" w:ascii="仿宋_GB2312" w:hAnsi="仿宋" w:eastAsia="仿宋_GB2312"/>
          <w:sz w:val="32"/>
          <w:szCs w:val="32"/>
          <w:highlight w:val="none"/>
          <w:lang w:eastAsia="zh-CN"/>
        </w:rPr>
        <w:t>，邀请区纪检监察机关对公开招聘工作实行全过程监督。</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rPr>
        <w:t>四、</w:t>
      </w:r>
      <w:r>
        <w:rPr>
          <w:rFonts w:hint="eastAsia" w:ascii="黑体" w:hAnsi="黑体" w:eastAsia="黑体" w:cs="黑体"/>
          <w:bCs/>
          <w:sz w:val="32"/>
          <w:szCs w:val="32"/>
          <w:highlight w:val="none"/>
          <w:lang w:eastAsia="zh-CN"/>
        </w:rPr>
        <w:t>招聘程序</w:t>
      </w:r>
    </w:p>
    <w:p>
      <w:pPr>
        <w:keepNext w:val="0"/>
        <w:keepLines w:val="0"/>
        <w:pageBreakBefore w:val="0"/>
        <w:widowControl w:val="0"/>
        <w:shd w:val="clear" w:color="auto" w:fill="FFFFFF"/>
        <w:kinsoku/>
        <w:wordWrap/>
        <w:overflowPunct/>
        <w:topLinePunct w:val="0"/>
        <w:autoSpaceDE/>
        <w:autoSpaceDN/>
        <w:bidi w:val="0"/>
        <w:spacing w:line="480" w:lineRule="exact"/>
        <w:ind w:firstLine="643" w:firstLineChars="200"/>
        <w:textAlignment w:val="auto"/>
        <w:rPr>
          <w:rFonts w:hint="eastAsia" w:ascii="仿宋" w:hAnsi="仿宋" w:eastAsia="楷体_GB2312"/>
          <w:b/>
          <w:bCs/>
          <w:sz w:val="32"/>
          <w:szCs w:val="32"/>
          <w:lang w:val="en-US" w:eastAsia="zh-CN"/>
        </w:rPr>
      </w:pPr>
      <w:r>
        <w:rPr>
          <w:rFonts w:hint="eastAsia" w:ascii="楷体_GB2312" w:hAnsi="楷体_GB2312" w:eastAsia="楷体_GB2312" w:cs="楷体_GB2312"/>
          <w:b/>
          <w:bCs/>
          <w:sz w:val="32"/>
          <w:szCs w:val="32"/>
        </w:rPr>
        <w:t>（一）报名</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1.报名时间：202</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年3月</w:t>
      </w:r>
      <w:r>
        <w:rPr>
          <w:rFonts w:hint="eastAsia" w:ascii="仿宋_GB2312" w:hAnsi="仿宋_GB2312" w:eastAsia="仿宋_GB2312" w:cs="仿宋_GB2312"/>
          <w:kern w:val="2"/>
          <w:sz w:val="32"/>
          <w:szCs w:val="32"/>
          <w:lang w:val="en-US" w:eastAsia="zh-CN"/>
        </w:rPr>
        <w:t>21</w:t>
      </w:r>
      <w:r>
        <w:rPr>
          <w:rFonts w:hint="eastAsia" w:ascii="仿宋_GB2312" w:hAnsi="仿宋_GB2312" w:eastAsia="仿宋_GB2312" w:cs="仿宋_GB2312"/>
          <w:kern w:val="2"/>
          <w:sz w:val="32"/>
          <w:szCs w:val="32"/>
        </w:rPr>
        <w:t>日-2</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rPr>
        <w:t>日。</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2.报名方式与收费：采取网上报名和网上缴费方式，请登录福建教育考试院网站（网址：http://www.eeafj.cn/）教师招考专栏。</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3.资格初审:由</w:t>
      </w:r>
      <w:r>
        <w:rPr>
          <w:rFonts w:hint="eastAsia" w:ascii="仿宋_GB2312" w:hAnsi="仿宋" w:eastAsia="仿宋_GB2312"/>
          <w:sz w:val="32"/>
          <w:szCs w:val="32"/>
          <w:highlight w:val="none"/>
        </w:rPr>
        <w:t>区公开招聘新教师工作领导小组</w:t>
      </w:r>
      <w:r>
        <w:rPr>
          <w:rFonts w:hint="eastAsia" w:ascii="仿宋_GB2312" w:hAnsi="仿宋_GB2312" w:eastAsia="仿宋_GB2312" w:cs="仿宋_GB2312"/>
          <w:kern w:val="2"/>
          <w:sz w:val="32"/>
          <w:szCs w:val="32"/>
        </w:rPr>
        <w:t>负责。</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rPr>
        <w:t>4.注意事项：笔试报名每位应聘者只能报考1个岗位（只能报考一个学段学科）。</w:t>
      </w:r>
      <w:r>
        <w:rPr>
          <w:rFonts w:ascii="仿宋_GB2312" w:hAnsi="仿宋_GB2312" w:eastAsia="仿宋_GB2312" w:cs="仿宋_GB2312"/>
          <w:kern w:val="2"/>
          <w:sz w:val="32"/>
          <w:szCs w:val="32"/>
        </w:rPr>
        <w:t>报名时，报考者提交的报考信息应当真实、</w:t>
      </w:r>
      <w:r>
        <w:rPr>
          <w:rFonts w:ascii="仿宋_GB2312" w:hAnsi="仿宋_GB2312" w:eastAsia="仿宋_GB2312" w:cs="仿宋_GB2312"/>
          <w:kern w:val="2"/>
          <w:sz w:val="32"/>
          <w:szCs w:val="32"/>
          <w:highlight w:val="none"/>
        </w:rPr>
        <w:t>准确，提供虚假报考信息的，一经查实，即取消报考资格。对伪造、变造有关证件、材料、信息，骗取考试资格以及对注册虚假信息，恶意刷高报考人数，达到减少竞争目的扰乱报名秩序的行为，将按照《事业单位公开招聘违纪违规行为处理规定》予以处理。</w:t>
      </w:r>
    </w:p>
    <w:p>
      <w:pPr>
        <w:keepNext w:val="0"/>
        <w:keepLines w:val="0"/>
        <w:pageBreakBefore w:val="0"/>
        <w:widowControl w:val="0"/>
        <w:shd w:val="clear" w:color="auto" w:fill="FFFFFF"/>
        <w:kinsoku/>
        <w:wordWrap/>
        <w:overflowPunct/>
        <w:topLinePunct w:val="0"/>
        <w:autoSpaceDE/>
        <w:autoSpaceDN/>
        <w:bidi w:val="0"/>
        <w:spacing w:line="4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笔试</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1.笔试对象：</w:t>
      </w:r>
      <w:r>
        <w:rPr>
          <w:rFonts w:hint="eastAsia" w:ascii="仿宋_GB2312" w:hAnsi="仿宋_GB2312" w:eastAsia="仿宋_GB2312" w:cs="仿宋_GB2312"/>
          <w:sz w:val="32"/>
          <w:szCs w:val="32"/>
        </w:rPr>
        <w:t>经资格初审后，招考岗位的招考人数为1人的，若报考人数的比例不足1︰3的，该岗位不开考，该岗位报考者的报名费将如数退还；招考岗位的招考人数为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及以上</w:t>
      </w:r>
      <w:r>
        <w:rPr>
          <w:rFonts w:hint="eastAsia" w:ascii="仿宋_GB2312" w:hAnsi="仿宋_GB2312" w:eastAsia="仿宋_GB2312" w:cs="仿宋_GB2312"/>
          <w:sz w:val="32"/>
          <w:szCs w:val="32"/>
        </w:rPr>
        <w:t>的，若报考人数的比例不足1︰3的，按1︰3等比例减少招考人数。不开考和减少招考人数的岗位由</w:t>
      </w:r>
      <w:r>
        <w:rPr>
          <w:rFonts w:hint="eastAsia" w:ascii="仿宋_GB2312" w:hAnsi="仿宋" w:eastAsia="仿宋_GB2312"/>
          <w:sz w:val="32"/>
          <w:szCs w:val="32"/>
          <w:highlight w:val="none"/>
        </w:rPr>
        <w:t>区公开招聘新教师工作领导小组</w:t>
      </w:r>
      <w:r>
        <w:rPr>
          <w:rFonts w:hint="eastAsia" w:ascii="仿宋_GB2312" w:hAnsi="仿宋_GB2312" w:eastAsia="仿宋_GB2312" w:cs="仿宋_GB2312"/>
          <w:sz w:val="32"/>
          <w:szCs w:val="32"/>
        </w:rPr>
        <w:t>统一对外公布，并报市人社局备案。</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2.笔试时间与地点：</w:t>
      </w:r>
      <w:r>
        <w:rPr>
          <w:rFonts w:hint="eastAsia" w:ascii="仿宋_GB2312" w:hAnsi="仿宋_GB2312" w:eastAsia="仿宋_GB2312" w:cs="仿宋_GB2312"/>
          <w:b w:val="0"/>
          <w:bCs w:val="0"/>
          <w:sz w:val="32"/>
          <w:szCs w:val="32"/>
          <w:lang w:val="en-US" w:eastAsia="zh-CN"/>
        </w:rPr>
        <w:t>4月18日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地点以考试机构核发的《准考证》上的通知为准。</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3.笔试内容：</w:t>
      </w:r>
      <w:r>
        <w:rPr>
          <w:rFonts w:hint="eastAsia" w:ascii="仿宋_GB2312" w:hAnsi="仿宋_GB2312" w:eastAsia="仿宋_GB2312" w:cs="仿宋_GB2312"/>
          <w:sz w:val="32"/>
          <w:szCs w:val="32"/>
        </w:rPr>
        <w:t>笔试科目、内容及成绩计算方法等按闽教人[2010]7号有关文件执行。笔试分教育综合知识考试和专业知识考试两部分。教育综合知识考试的主要内容为时事政治、师德规范、教育法律法规、教育学和心理学基础知识、新课程理念等;专业知识考试的主要内容为相应学科的专业主干知识和教材教法等，包括新课程理念与教学方式的应用。</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3" w:firstLineChars="200"/>
        <w:textAlignment w:val="auto"/>
        <w:rPr>
          <w:rFonts w:hint="eastAsia" w:ascii="仿宋_GB2312" w:hAnsi="仿宋" w:eastAsia="仿宋_GB2312"/>
          <w:sz w:val="32"/>
          <w:szCs w:val="32"/>
        </w:rPr>
      </w:pPr>
      <w:r>
        <w:rPr>
          <w:rFonts w:hint="eastAsia" w:ascii="仿宋_GB2312" w:hAnsi="仿宋_GB2312" w:eastAsia="仿宋_GB2312" w:cs="仿宋_GB2312"/>
          <w:b/>
          <w:bCs/>
          <w:kern w:val="2"/>
          <w:sz w:val="32"/>
          <w:szCs w:val="32"/>
        </w:rPr>
        <w:t>4.笔试加分：</w:t>
      </w:r>
      <w:r>
        <w:rPr>
          <w:rFonts w:hint="eastAsia" w:ascii="仿宋_GB2312" w:hAnsi="仿宋_GB2312" w:eastAsia="仿宋_GB2312" w:cs="仿宋_GB2312"/>
          <w:kern w:val="2"/>
          <w:sz w:val="32"/>
          <w:szCs w:val="32"/>
        </w:rPr>
        <w:t>符合《关于转发&lt;事业单位公开招聘人员暂行规定&gt;的通知》（闽人发[2006]10号）、《关于进一步完善参加“三支一扶”计划等服务基层项目高校毕业生有关就业政策的通知》（闽人发[2009]221号）、《关于农村独女户、二女户女儿在参加事业单位招聘时给予加分的通知》（莆政办[2012]225号）、《关于进一步做好引进人才家属子女就业工作的通知》（莆委办[2010]64号）等</w:t>
      </w:r>
      <w:r>
        <w:rPr>
          <w:rFonts w:hint="eastAsia" w:ascii="仿宋_GB2312" w:hAnsi="仿宋_GB2312" w:eastAsia="仿宋_GB2312" w:cs="仿宋_GB2312"/>
          <w:kern w:val="2"/>
          <w:sz w:val="32"/>
          <w:szCs w:val="32"/>
          <w:highlight w:val="none"/>
        </w:rPr>
        <w:t>文件中关于笔试加分规定（具体内容见附件</w:t>
      </w:r>
      <w:r>
        <w:rPr>
          <w:rFonts w:hint="eastAsia" w:ascii="仿宋_GB2312" w:hAnsi="仿宋_GB2312" w:eastAsia="仿宋_GB2312" w:cs="仿宋_GB2312"/>
          <w:kern w:val="2"/>
          <w:sz w:val="32"/>
          <w:szCs w:val="32"/>
          <w:highlight w:val="none"/>
          <w:lang w:val="en-US" w:eastAsia="zh-CN"/>
        </w:rPr>
        <w:t>4</w:t>
      </w:r>
      <w:r>
        <w:rPr>
          <w:rFonts w:hint="eastAsia" w:ascii="仿宋_GB2312" w:hAnsi="仿宋_GB2312" w:eastAsia="仿宋_GB2312" w:cs="仿宋_GB2312"/>
          <w:kern w:val="2"/>
          <w:sz w:val="32"/>
          <w:szCs w:val="32"/>
          <w:highlight w:val="none"/>
        </w:rPr>
        <w:t>）的考生可提出申请</w:t>
      </w:r>
      <w:r>
        <w:rPr>
          <w:rFonts w:hint="eastAsia" w:ascii="仿宋_GB2312" w:hAnsi="仿宋_GB2312" w:eastAsia="仿宋_GB2312" w:cs="仿宋_GB2312"/>
          <w:kern w:val="2"/>
          <w:sz w:val="32"/>
          <w:szCs w:val="32"/>
        </w:rPr>
        <w:t>（在笔试百分制中加分）。拟加分对象须在规定时间内（加分受理时间在</w:t>
      </w:r>
      <w:r>
        <w:rPr>
          <w:rFonts w:hint="eastAsia" w:ascii="仿宋_GB2312" w:hAnsi="仿宋" w:eastAsia="仿宋_GB2312"/>
          <w:color w:val="auto"/>
          <w:sz w:val="32"/>
          <w:szCs w:val="32"/>
          <w:highlight w:val="none"/>
          <w:lang w:eastAsia="zh-CN"/>
        </w:rPr>
        <w:t>莆田市涵江区人民政府网站“教育专栏”上</w:t>
      </w:r>
      <w:r>
        <w:rPr>
          <w:rFonts w:hint="eastAsia" w:ascii="仿宋_GB2312" w:hAnsi="仿宋_GB2312" w:eastAsia="仿宋_GB2312" w:cs="仿宋_GB2312"/>
          <w:kern w:val="2"/>
          <w:sz w:val="32"/>
          <w:szCs w:val="32"/>
        </w:rPr>
        <w:t>另行公告通知，敬请考生及时关注，逾期不再受理）向</w:t>
      </w:r>
      <w:r>
        <w:rPr>
          <w:rFonts w:hint="eastAsia" w:ascii="仿宋_GB2312" w:hAnsi="仿宋_GB2312" w:eastAsia="仿宋_GB2312" w:cs="仿宋_GB2312"/>
          <w:kern w:val="2"/>
          <w:sz w:val="32"/>
          <w:szCs w:val="32"/>
          <w:lang w:eastAsia="zh-CN"/>
        </w:rPr>
        <w:t>区</w:t>
      </w:r>
      <w:r>
        <w:rPr>
          <w:rFonts w:hint="eastAsia" w:ascii="仿宋_GB2312" w:hAnsi="仿宋_GB2312" w:eastAsia="仿宋_GB2312" w:cs="仿宋_GB2312"/>
          <w:kern w:val="2"/>
          <w:sz w:val="32"/>
          <w:szCs w:val="32"/>
        </w:rPr>
        <w:t>教育局提交由相关部门颁发的证书（证明）原件及复印件各一份，加分考生材料审核认定后，名单将在网站予以公示。</w:t>
      </w:r>
    </w:p>
    <w:p>
      <w:pPr>
        <w:keepNext w:val="0"/>
        <w:keepLines w:val="0"/>
        <w:pageBreakBefore w:val="0"/>
        <w:widowControl w:val="0"/>
        <w:shd w:val="clear" w:color="auto" w:fill="FFFFFF"/>
        <w:kinsoku/>
        <w:wordWrap/>
        <w:overflowPunct/>
        <w:topLinePunct w:val="0"/>
        <w:autoSpaceDE/>
        <w:autoSpaceDN/>
        <w:bidi w:val="0"/>
        <w:spacing w:line="48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（三）面试</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1.面试对象确定：</w:t>
      </w:r>
      <w:r>
        <w:rPr>
          <w:rFonts w:hint="eastAsia" w:ascii="仿宋_GB2312" w:hAnsi="仿宋_GB2312" w:eastAsia="仿宋_GB2312" w:cs="仿宋_GB2312"/>
          <w:kern w:val="2"/>
          <w:sz w:val="32"/>
          <w:szCs w:val="32"/>
        </w:rPr>
        <w:t>进入面试的报考者，按照每个岗位聘用计划数的3倍，按笔试成绩从高分到低分依次确定；达不到规定比例的，按实有人数确定面试人选。若同一学科最后一个岗位比例范围内出现笔试成绩并列的，一并确定为面试对象。拟进入面试考生名单将在</w:t>
      </w:r>
      <w:r>
        <w:rPr>
          <w:rFonts w:hint="eastAsia" w:ascii="仿宋_GB2312" w:hAnsi="仿宋" w:eastAsia="仿宋_GB2312"/>
          <w:color w:val="auto"/>
          <w:sz w:val="32"/>
          <w:szCs w:val="32"/>
          <w:highlight w:val="none"/>
          <w:lang w:eastAsia="zh-CN"/>
        </w:rPr>
        <w:t>莆田市涵江区人民政府网站“教育专栏”上</w:t>
      </w:r>
      <w:r>
        <w:rPr>
          <w:rFonts w:hint="eastAsia" w:ascii="仿宋_GB2312" w:hAnsi="仿宋_GB2312" w:eastAsia="仿宋_GB2312" w:cs="仿宋_GB2312"/>
          <w:kern w:val="2"/>
          <w:sz w:val="32"/>
          <w:szCs w:val="32"/>
        </w:rPr>
        <w:t>公布。</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2.资格审核：</w:t>
      </w:r>
      <w:r>
        <w:rPr>
          <w:rFonts w:hint="eastAsia" w:ascii="仿宋_GB2312" w:hAnsi="仿宋_GB2312" w:eastAsia="仿宋_GB2312" w:cs="仿宋_GB2312"/>
          <w:kern w:val="2"/>
          <w:sz w:val="32"/>
          <w:szCs w:val="32"/>
        </w:rPr>
        <w:t>面试前，</w:t>
      </w:r>
      <w:r>
        <w:rPr>
          <w:rFonts w:hint="eastAsia" w:ascii="仿宋_GB2312" w:hAnsi="仿宋" w:eastAsia="仿宋_GB2312"/>
          <w:sz w:val="32"/>
          <w:szCs w:val="32"/>
          <w:highlight w:val="none"/>
        </w:rPr>
        <w:t>区公开招聘新教师工作领导小组</w:t>
      </w:r>
      <w:r>
        <w:rPr>
          <w:rFonts w:hint="eastAsia" w:ascii="仿宋_GB2312" w:hAnsi="仿宋_GB2312" w:eastAsia="仿宋_GB2312" w:cs="仿宋_GB2312"/>
          <w:kern w:val="2"/>
          <w:sz w:val="32"/>
          <w:szCs w:val="32"/>
        </w:rPr>
        <w:t>将对报考者的资格条件进行书面材料审核，资格条件的确认以此审核为准。进入面试考生在资格审核时放弃或资格不符的，予以该岗按笔试成绩依次递补一次（递补对象放弃或资格不符的面试空缺名额不再递补）。</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2"/>
          <w:sz w:val="32"/>
          <w:szCs w:val="32"/>
          <w:highlight w:val="none"/>
          <w:u w:val="none"/>
        </w:rPr>
      </w:pPr>
      <w:r>
        <w:rPr>
          <w:rFonts w:hint="eastAsia" w:ascii="仿宋_GB2312" w:hAnsi="仿宋_GB2312" w:eastAsia="仿宋_GB2312" w:cs="仿宋_GB2312"/>
          <w:kern w:val="2"/>
          <w:sz w:val="32"/>
          <w:szCs w:val="32"/>
        </w:rPr>
        <w:t>资格审核主要是核实报考者是否符合招聘岗位规定的报考条件，并通过查验有关证书、文件资料和本人身份证等方式，确认其报名时提交的信息和材料是否真实、准确。面试人选须随带身份证（未办理身份证的提供户籍证明）、毕业证、</w:t>
      </w:r>
      <w:r>
        <w:rPr>
          <w:rFonts w:hint="eastAsia" w:ascii="仿宋_GB2312" w:hAnsi="仿宋_GB2312" w:eastAsia="仿宋_GB2312" w:cs="仿宋_GB2312"/>
          <w:kern w:val="2"/>
          <w:sz w:val="32"/>
          <w:szCs w:val="32"/>
          <w:lang w:eastAsia="zh-CN"/>
        </w:rPr>
        <w:t>学位证、</w:t>
      </w:r>
      <w:r>
        <w:rPr>
          <w:rFonts w:hint="eastAsia" w:ascii="仿宋_GB2312" w:hAnsi="仿宋_GB2312" w:eastAsia="仿宋_GB2312" w:cs="仿宋_GB2312"/>
          <w:kern w:val="2"/>
          <w:sz w:val="32"/>
          <w:szCs w:val="32"/>
        </w:rPr>
        <w:t>毕业生就业推荐表、教师资格证书原件及复印件各一份。届时，应届毕业生尚未领取毕业证、教师资格证书的，可先随带毕业生就业推荐表、身份证（未办理身份证的提供户籍证明）原件及复印件各一份。</w:t>
      </w:r>
      <w:r>
        <w:rPr>
          <w:rFonts w:hint="eastAsia" w:ascii="仿宋_GB2312" w:hAnsi="仿宋_GB2312" w:eastAsia="仿宋_GB2312" w:cs="仿宋_GB2312"/>
          <w:kern w:val="2"/>
          <w:sz w:val="32"/>
          <w:szCs w:val="32"/>
          <w:highlight w:val="none"/>
        </w:rPr>
        <w:t>资</w:t>
      </w:r>
      <w:r>
        <w:rPr>
          <w:rFonts w:hint="eastAsia" w:ascii="仿宋_GB2312" w:hAnsi="仿宋_GB2312" w:eastAsia="仿宋_GB2312" w:cs="仿宋_GB2312"/>
          <w:color w:val="auto"/>
          <w:kern w:val="2"/>
          <w:sz w:val="32"/>
          <w:szCs w:val="32"/>
          <w:highlight w:val="none"/>
          <w:u w:val="none"/>
        </w:rPr>
        <w:t>格条件的最终确认以此审核为准。在严格复查的前提下，除非考生提供虚假报考信息、骗取报考资格的或从事招聘工作的人员失职渎职，招聘单位及主管部门不再将“专业资格不符”作为面试之后该岗位申请递补的理由，以维护资格复查的严肃性。</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资格审核事项届时</w:t>
      </w:r>
      <w:r>
        <w:rPr>
          <w:rFonts w:hint="eastAsia" w:ascii="仿宋_GB2312" w:hAnsi="仿宋_GB2312" w:eastAsia="仿宋_GB2312" w:cs="仿宋_GB2312"/>
          <w:kern w:val="2"/>
          <w:sz w:val="32"/>
          <w:szCs w:val="32"/>
          <w:lang w:eastAsia="zh-CN"/>
        </w:rPr>
        <w:t>将</w:t>
      </w:r>
      <w:r>
        <w:rPr>
          <w:rFonts w:hint="eastAsia" w:ascii="仿宋_GB2312" w:hAnsi="仿宋" w:eastAsia="仿宋_GB2312"/>
          <w:sz w:val="32"/>
          <w:szCs w:val="32"/>
          <w:highlight w:val="none"/>
        </w:rPr>
        <w:t>在</w:t>
      </w:r>
      <w:r>
        <w:rPr>
          <w:rFonts w:hint="eastAsia" w:ascii="仿宋_GB2312" w:hAnsi="仿宋" w:eastAsia="仿宋_GB2312"/>
          <w:sz w:val="32"/>
          <w:szCs w:val="32"/>
          <w:highlight w:val="none"/>
          <w:lang w:eastAsia="zh-CN"/>
        </w:rPr>
        <w:t>莆田市涵江区人民政府网站“教育专栏”上</w:t>
      </w:r>
      <w:r>
        <w:rPr>
          <w:rFonts w:hint="eastAsia" w:ascii="仿宋_GB2312" w:hAnsi="仿宋_GB2312" w:eastAsia="仿宋_GB2312" w:cs="仿宋_GB2312"/>
          <w:kern w:val="2"/>
          <w:sz w:val="32"/>
          <w:szCs w:val="32"/>
        </w:rPr>
        <w:t>另行通知。资格审核通过者当场发给面试证，考生凭面试证、有效身份证明入闱参加面试。</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3.面试时间与地点：</w:t>
      </w:r>
      <w:r>
        <w:rPr>
          <w:rFonts w:hint="eastAsia" w:ascii="仿宋_GB2312" w:hAnsi="仿宋_GB2312" w:eastAsia="仿宋_GB2312" w:cs="仿宋_GB2312"/>
          <w:kern w:val="2"/>
          <w:sz w:val="32"/>
          <w:szCs w:val="32"/>
        </w:rPr>
        <w:t>另行通知。</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3" w:firstLineChars="200"/>
        <w:textAlignment w:val="auto"/>
        <w:rPr>
          <w:rFonts w:hint="eastAsia" w:ascii="仿宋_GB2312" w:hAnsi="仿宋" w:eastAsia="仿宋_GB2312"/>
          <w:sz w:val="32"/>
          <w:szCs w:val="32"/>
          <w:highlight w:val="none"/>
        </w:rPr>
      </w:pPr>
      <w:r>
        <w:rPr>
          <w:rFonts w:hint="eastAsia" w:ascii="仿宋_GB2312" w:hAnsi="仿宋_GB2312" w:eastAsia="仿宋_GB2312" w:cs="仿宋_GB2312"/>
          <w:b/>
          <w:bCs/>
          <w:kern w:val="2"/>
          <w:sz w:val="32"/>
          <w:szCs w:val="32"/>
        </w:rPr>
        <w:t>4.面试办法：</w:t>
      </w:r>
      <w:r>
        <w:rPr>
          <w:rFonts w:hint="eastAsia" w:ascii="仿宋_GB2312" w:hAnsi="宋体" w:eastAsia="仿宋_GB2312"/>
          <w:color w:val="auto"/>
          <w:kern w:val="2"/>
          <w:sz w:val="32"/>
          <w:szCs w:val="32"/>
          <w:highlight w:val="none"/>
          <w:lang w:eastAsia="zh-CN"/>
        </w:rPr>
        <w:t>所有</w:t>
      </w:r>
      <w:r>
        <w:rPr>
          <w:rFonts w:hint="eastAsia" w:ascii="仿宋_GB2312" w:hAnsi="仿宋" w:eastAsia="仿宋_GB2312"/>
          <w:bCs/>
          <w:sz w:val="32"/>
          <w:szCs w:val="32"/>
          <w:highlight w:val="none"/>
          <w:lang w:eastAsia="zh-CN"/>
        </w:rPr>
        <w:t>岗位</w:t>
      </w:r>
      <w:r>
        <w:rPr>
          <w:rFonts w:hint="eastAsia" w:ascii="仿宋_GB2312" w:hAnsi="仿宋" w:eastAsia="仿宋_GB2312"/>
          <w:sz w:val="32"/>
          <w:szCs w:val="32"/>
          <w:highlight w:val="none"/>
        </w:rPr>
        <w:t>采取</w:t>
      </w:r>
      <w:r>
        <w:rPr>
          <w:rFonts w:hint="eastAsia" w:ascii="仿宋_GB2312" w:hAnsi="仿宋" w:eastAsia="仿宋_GB2312"/>
          <w:sz w:val="32"/>
          <w:szCs w:val="32"/>
          <w:highlight w:val="none"/>
          <w:lang w:eastAsia="zh-CN"/>
        </w:rPr>
        <w:t>片段教学的</w:t>
      </w:r>
      <w:r>
        <w:rPr>
          <w:rFonts w:hint="eastAsia" w:ascii="仿宋_GB2312" w:hAnsi="仿宋" w:eastAsia="仿宋_GB2312"/>
          <w:sz w:val="32"/>
          <w:szCs w:val="32"/>
          <w:highlight w:val="none"/>
        </w:rPr>
        <w:t>方式进行。</w:t>
      </w:r>
      <w:r>
        <w:rPr>
          <w:rFonts w:hint="eastAsia" w:ascii="仿宋_GB2312" w:hAnsi="宋体" w:eastAsia="仿宋_GB2312" w:cs="仿宋_GB2312"/>
          <w:b w:val="0"/>
          <w:i w:val="0"/>
          <w:caps w:val="0"/>
          <w:color w:val="000000"/>
          <w:spacing w:val="0"/>
          <w:sz w:val="32"/>
          <w:szCs w:val="32"/>
          <w:highlight w:val="none"/>
          <w:shd w:val="clear" w:color="auto" w:fill="FFFFFF"/>
        </w:rPr>
        <w:t>同一岗位考生抽签确认面试顺序后，由第</w:t>
      </w:r>
      <w:r>
        <w:rPr>
          <w:rFonts w:hint="eastAsia" w:ascii="仿宋_GB2312" w:hAnsi="宋体" w:eastAsia="仿宋_GB2312" w:cs="仿宋_GB2312"/>
          <w:b w:val="0"/>
          <w:i w:val="0"/>
          <w:caps w:val="0"/>
          <w:color w:val="000000"/>
          <w:spacing w:val="0"/>
          <w:sz w:val="32"/>
          <w:szCs w:val="32"/>
          <w:highlight w:val="none"/>
          <w:shd w:val="clear" w:color="auto" w:fill="FFFFFF"/>
          <w:lang w:eastAsia="zh-CN"/>
        </w:rPr>
        <w:t>一</w:t>
      </w:r>
      <w:r>
        <w:rPr>
          <w:rFonts w:hint="eastAsia" w:ascii="仿宋_GB2312" w:hAnsi="宋体" w:eastAsia="仿宋_GB2312" w:cs="仿宋_GB2312"/>
          <w:b w:val="0"/>
          <w:i w:val="0"/>
          <w:caps w:val="0"/>
          <w:color w:val="000000"/>
          <w:spacing w:val="0"/>
          <w:sz w:val="32"/>
          <w:szCs w:val="32"/>
          <w:highlight w:val="none"/>
          <w:shd w:val="clear" w:color="auto" w:fill="FFFFFF"/>
        </w:rPr>
        <w:t>位面试</w:t>
      </w:r>
      <w:r>
        <w:rPr>
          <w:rFonts w:hint="eastAsia" w:ascii="仿宋_GB2312" w:hAnsi="宋体" w:eastAsia="仿宋_GB2312" w:cs="仿宋_GB2312"/>
          <w:b w:val="0"/>
          <w:i w:val="0"/>
          <w:caps w:val="0"/>
          <w:color w:val="000000"/>
          <w:spacing w:val="0"/>
          <w:sz w:val="32"/>
          <w:szCs w:val="32"/>
          <w:highlight w:val="none"/>
          <w:shd w:val="clear" w:color="auto" w:fill="FFFFFF"/>
          <w:lang w:eastAsia="zh-CN"/>
        </w:rPr>
        <w:t>的</w:t>
      </w:r>
      <w:r>
        <w:rPr>
          <w:rFonts w:hint="eastAsia" w:ascii="仿宋_GB2312" w:hAnsi="宋体" w:eastAsia="仿宋_GB2312" w:cs="仿宋_GB2312"/>
          <w:b w:val="0"/>
          <w:i w:val="0"/>
          <w:caps w:val="0"/>
          <w:color w:val="000000"/>
          <w:spacing w:val="0"/>
          <w:sz w:val="32"/>
          <w:szCs w:val="32"/>
          <w:highlight w:val="none"/>
          <w:shd w:val="clear" w:color="auto" w:fill="FFFFFF"/>
        </w:rPr>
        <w:t>考生</w:t>
      </w:r>
      <w:r>
        <w:rPr>
          <w:rFonts w:ascii="仿宋_GB2312" w:hAnsi="宋体" w:eastAsia="仿宋_GB2312" w:cs="仿宋_GB2312"/>
          <w:b w:val="0"/>
          <w:i w:val="0"/>
          <w:caps w:val="0"/>
          <w:color w:val="000000"/>
          <w:spacing w:val="0"/>
          <w:sz w:val="32"/>
          <w:szCs w:val="32"/>
          <w:highlight w:val="none"/>
          <w:shd w:val="clear" w:color="auto" w:fill="FFFFFF"/>
        </w:rPr>
        <w:t>随机抽</w:t>
      </w:r>
      <w:r>
        <w:rPr>
          <w:rFonts w:hint="eastAsia" w:ascii="仿宋_GB2312" w:hAnsi="宋体" w:eastAsia="仿宋_GB2312" w:cs="仿宋_GB2312"/>
          <w:b w:val="0"/>
          <w:i w:val="0"/>
          <w:caps w:val="0"/>
          <w:color w:val="000000"/>
          <w:spacing w:val="0"/>
          <w:sz w:val="32"/>
          <w:szCs w:val="32"/>
          <w:highlight w:val="none"/>
          <w:shd w:val="clear" w:color="auto" w:fill="FFFFFF"/>
          <w:lang w:eastAsia="zh-CN"/>
        </w:rPr>
        <w:t>取一个课</w:t>
      </w:r>
      <w:r>
        <w:rPr>
          <w:rFonts w:ascii="仿宋_GB2312" w:hAnsi="宋体" w:eastAsia="仿宋_GB2312" w:cs="仿宋_GB2312"/>
          <w:b w:val="0"/>
          <w:i w:val="0"/>
          <w:caps w:val="0"/>
          <w:color w:val="000000"/>
          <w:spacing w:val="0"/>
          <w:sz w:val="32"/>
          <w:szCs w:val="32"/>
          <w:highlight w:val="none"/>
          <w:shd w:val="clear" w:color="auto" w:fill="FFFFFF"/>
        </w:rPr>
        <w:t>题</w:t>
      </w:r>
      <w:r>
        <w:rPr>
          <w:rFonts w:hint="eastAsia" w:ascii="仿宋_GB2312" w:hAnsi="宋体" w:eastAsia="仿宋_GB2312" w:cs="仿宋_GB2312"/>
          <w:b w:val="0"/>
          <w:i w:val="0"/>
          <w:caps w:val="0"/>
          <w:color w:val="000000"/>
          <w:spacing w:val="0"/>
          <w:sz w:val="32"/>
          <w:szCs w:val="32"/>
          <w:highlight w:val="none"/>
          <w:shd w:val="clear" w:color="auto" w:fill="FFFFFF"/>
          <w:lang w:eastAsia="zh-CN"/>
        </w:rPr>
        <w:t>作为该岗位的面试课题</w:t>
      </w:r>
      <w:r>
        <w:rPr>
          <w:rFonts w:ascii="仿宋_GB2312" w:hAnsi="宋体" w:eastAsia="仿宋_GB2312" w:cs="仿宋_GB2312"/>
          <w:b w:val="0"/>
          <w:i w:val="0"/>
          <w:caps w:val="0"/>
          <w:color w:val="000000"/>
          <w:spacing w:val="0"/>
          <w:sz w:val="32"/>
          <w:szCs w:val="32"/>
          <w:highlight w:val="none"/>
          <w:shd w:val="clear" w:color="auto" w:fill="FFFFFF"/>
        </w:rPr>
        <w:t>，</w:t>
      </w:r>
      <w:r>
        <w:rPr>
          <w:rFonts w:hint="eastAsia" w:ascii="仿宋_GB2312" w:hAnsi="仿宋" w:eastAsia="仿宋_GB2312"/>
          <w:sz w:val="32"/>
          <w:szCs w:val="32"/>
          <w:highlight w:val="none"/>
        </w:rPr>
        <w:t>同一学</w:t>
      </w:r>
      <w:r>
        <w:rPr>
          <w:rFonts w:hint="eastAsia" w:ascii="仿宋_GB2312" w:hAnsi="仿宋" w:eastAsia="仿宋_GB2312"/>
          <w:sz w:val="32"/>
          <w:szCs w:val="32"/>
          <w:highlight w:val="none"/>
          <w:lang w:eastAsia="zh-CN"/>
        </w:rPr>
        <w:t>段同一学科</w:t>
      </w:r>
      <w:r>
        <w:rPr>
          <w:rFonts w:hint="eastAsia" w:ascii="仿宋_GB2312" w:hAnsi="仿宋" w:eastAsia="仿宋_GB2312"/>
          <w:sz w:val="32"/>
          <w:szCs w:val="32"/>
          <w:highlight w:val="none"/>
        </w:rPr>
        <w:t>同一课题。</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5.面试内容与分值：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 w:eastAsia="仿宋_GB2312"/>
          <w:bCs/>
          <w:sz w:val="32"/>
          <w:szCs w:val="32"/>
          <w:highlight w:val="none"/>
        </w:rPr>
      </w:pPr>
      <w:r>
        <w:rPr>
          <w:rFonts w:hint="eastAsia" w:ascii="仿宋_GB2312" w:hAnsi="仿宋" w:eastAsia="仿宋_GB2312"/>
          <w:sz w:val="32"/>
          <w:szCs w:val="32"/>
          <w:highlight w:val="none"/>
        </w:rPr>
        <w:t>现场撰写</w:t>
      </w:r>
      <w:r>
        <w:rPr>
          <w:rFonts w:hint="eastAsia" w:ascii="仿宋_GB2312" w:hAnsi="仿宋" w:eastAsia="仿宋_GB2312"/>
          <w:sz w:val="32"/>
          <w:szCs w:val="32"/>
          <w:highlight w:val="none"/>
          <w:lang w:eastAsia="zh-CN"/>
        </w:rPr>
        <w:t>片段教学教案</w:t>
      </w:r>
      <w:r>
        <w:rPr>
          <w:rFonts w:hint="eastAsia" w:ascii="仿宋_GB2312" w:hAnsi="仿宋" w:eastAsia="仿宋_GB2312"/>
          <w:sz w:val="32"/>
          <w:szCs w:val="32"/>
          <w:highlight w:val="none"/>
        </w:rPr>
        <w:t>（限时60分钟，</w:t>
      </w:r>
      <w:r>
        <w:rPr>
          <w:rFonts w:hint="eastAsia" w:ascii="仿宋_GB2312" w:hAnsi="仿宋" w:eastAsia="仿宋_GB2312"/>
          <w:sz w:val="32"/>
          <w:szCs w:val="32"/>
          <w:highlight w:val="none"/>
          <w:lang w:eastAsia="zh-CN"/>
        </w:rPr>
        <w:t>教案</w:t>
      </w:r>
      <w:r>
        <w:rPr>
          <w:rFonts w:hint="eastAsia" w:ascii="仿宋_GB2312" w:hAnsi="仿宋" w:eastAsia="仿宋_GB2312"/>
          <w:sz w:val="32"/>
          <w:szCs w:val="32"/>
          <w:highlight w:val="none"/>
        </w:rPr>
        <w:t>不评分），</w:t>
      </w:r>
      <w:r>
        <w:rPr>
          <w:rFonts w:hint="eastAsia" w:ascii="仿宋_GB2312" w:hAnsi="仿宋" w:eastAsia="仿宋_GB2312"/>
          <w:sz w:val="32"/>
          <w:szCs w:val="32"/>
          <w:highlight w:val="none"/>
          <w:lang w:eastAsia="zh-CN"/>
        </w:rPr>
        <w:t>进行片段教学（限时</w:t>
      </w:r>
      <w:r>
        <w:rPr>
          <w:rFonts w:hint="eastAsia" w:ascii="仿宋_GB2312" w:hAnsi="仿宋" w:eastAsia="仿宋_GB2312"/>
          <w:sz w:val="32"/>
          <w:szCs w:val="32"/>
          <w:highlight w:val="none"/>
        </w:rPr>
        <w:t>10分钟</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。面试成绩满分100分。</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rPr>
        <w:t>6.使用教材:</w:t>
      </w:r>
      <w:r>
        <w:rPr>
          <w:rFonts w:hint="eastAsia" w:ascii="仿宋_GB2312" w:eastAsia="仿宋_GB2312"/>
          <w:sz w:val="32"/>
          <w:szCs w:val="32"/>
          <w:highlight w:val="none"/>
        </w:rPr>
        <w:t>现行涵江区中小学幼儿园使用教材</w:t>
      </w:r>
      <w:r>
        <w:rPr>
          <w:rFonts w:hint="eastAsia" w:ascii="仿宋_GB2312" w:hAnsi="仿宋" w:eastAsia="仿宋_GB2312"/>
          <w:sz w:val="32"/>
          <w:szCs w:val="32"/>
          <w:highlight w:val="none"/>
        </w:rPr>
        <w:t>（具体见附件2）</w:t>
      </w:r>
      <w:r>
        <w:rPr>
          <w:rFonts w:hint="eastAsia" w:ascii="仿宋_GB2312" w:hAnsi="仿宋"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szCs w:val="32"/>
          <w:highlight w:val="none"/>
        </w:rPr>
      </w:pPr>
      <w:r>
        <w:rPr>
          <w:rFonts w:hint="eastAsia" w:ascii="仿宋_GB2312" w:hAnsi="仿宋_GB2312" w:eastAsia="仿宋_GB2312" w:cs="仿宋_GB2312"/>
          <w:b/>
          <w:bCs/>
          <w:kern w:val="2"/>
          <w:sz w:val="32"/>
          <w:szCs w:val="32"/>
        </w:rPr>
        <w:t>7.计分办法：</w:t>
      </w:r>
      <w:r>
        <w:rPr>
          <w:rFonts w:hint="eastAsia" w:ascii="仿宋_GB2312" w:hAnsi="仿宋" w:eastAsia="仿宋_GB2312"/>
          <w:sz w:val="32"/>
          <w:szCs w:val="32"/>
          <w:highlight w:val="none"/>
        </w:rPr>
        <w:t>面试成绩实行百分制，评分采取去掉最高分、最低分各1个，取平均分为最后得分。成绩计算按“四舍五入”保留两位小数。超过1</w:t>
      </w:r>
      <w:r>
        <w:rPr>
          <w:rFonts w:hint="eastAsia" w:ascii="宋体" w:hAnsi="宋体" w:cs="宋体"/>
          <w:spacing w:val="-6"/>
          <w:sz w:val="32"/>
          <w:szCs w:val="32"/>
          <w:highlight w:val="none"/>
        </w:rPr>
        <w:t>︰</w:t>
      </w:r>
      <w:r>
        <w:rPr>
          <w:rFonts w:hint="eastAsia" w:ascii="仿宋_GB2312" w:hAnsi="仿宋" w:eastAsia="仿宋_GB2312"/>
          <w:sz w:val="32"/>
          <w:szCs w:val="32"/>
          <w:highlight w:val="none"/>
        </w:rPr>
        <w:t>1比例进入面试的岗位面试成绩必须达60分以上（含60分），方为合格；按1</w:t>
      </w:r>
      <w:r>
        <w:rPr>
          <w:rFonts w:hint="eastAsia" w:ascii="宋体" w:hAnsi="宋体" w:cs="宋体"/>
          <w:spacing w:val="-6"/>
          <w:sz w:val="32"/>
          <w:szCs w:val="32"/>
          <w:highlight w:val="none"/>
        </w:rPr>
        <w:t>︰</w:t>
      </w:r>
      <w:r>
        <w:rPr>
          <w:rFonts w:hint="eastAsia" w:ascii="仿宋_GB2312" w:hAnsi="仿宋" w:eastAsia="仿宋_GB2312"/>
          <w:sz w:val="32"/>
          <w:szCs w:val="32"/>
          <w:highlight w:val="none"/>
        </w:rPr>
        <w:t>1比例进入面试的（含面试时因其他考生放弃造成1</w:t>
      </w:r>
      <w:r>
        <w:rPr>
          <w:rFonts w:hint="eastAsia" w:ascii="宋体" w:hAnsi="宋体" w:cs="宋体"/>
          <w:spacing w:val="-6"/>
          <w:sz w:val="32"/>
          <w:szCs w:val="32"/>
          <w:highlight w:val="none"/>
        </w:rPr>
        <w:t>︰</w:t>
      </w:r>
      <w:r>
        <w:rPr>
          <w:rFonts w:hint="eastAsia" w:ascii="仿宋_GB2312" w:hAnsi="仿宋" w:eastAsia="仿宋_GB2312"/>
          <w:sz w:val="32"/>
          <w:szCs w:val="32"/>
          <w:highlight w:val="none"/>
        </w:rPr>
        <w:t>1比例的），面试成绩必须达70分以上（含70分），方为合格。</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 w:eastAsia="仿宋_GB2312"/>
          <w:sz w:val="32"/>
          <w:szCs w:val="32"/>
          <w:highlight w:val="none"/>
        </w:rPr>
        <w:t>因招聘人数较多，当天一个小组不能完成面试须分成两个或两个以上面试</w:t>
      </w:r>
      <w:r>
        <w:rPr>
          <w:rFonts w:hint="eastAsia" w:ascii="仿宋_GB2312" w:hAnsi="仿宋" w:eastAsia="仿宋_GB2312"/>
          <w:sz w:val="32"/>
          <w:szCs w:val="32"/>
          <w:highlight w:val="none"/>
          <w:lang w:eastAsia="zh-CN"/>
        </w:rPr>
        <w:t>小组</w:t>
      </w:r>
      <w:r>
        <w:rPr>
          <w:rFonts w:hint="eastAsia" w:ascii="仿宋_GB2312" w:hAnsi="仿宋" w:eastAsia="仿宋_GB2312"/>
          <w:sz w:val="32"/>
          <w:szCs w:val="32"/>
          <w:highlight w:val="none"/>
        </w:rPr>
        <w:t>的岗位，采取加权平均法计分，计算公式</w:t>
      </w:r>
      <w:r>
        <w:rPr>
          <w:rFonts w:hint="eastAsia" w:ascii="仿宋_GB2312" w:hAnsi="仿宋" w:eastAsia="仿宋_GB2312"/>
          <w:sz w:val="32"/>
          <w:szCs w:val="32"/>
          <w:highlight w:val="none"/>
          <w:lang w:eastAsia="zh-CN"/>
        </w:rPr>
        <w:t>为</w:t>
      </w:r>
      <w:r>
        <w:rPr>
          <w:rFonts w:hint="eastAsia" w:ascii="仿宋_GB2312" w:hAnsi="仿宋" w:eastAsia="仿宋_GB2312"/>
          <w:sz w:val="32"/>
          <w:szCs w:val="32"/>
          <w:highlight w:val="none"/>
        </w:rPr>
        <w:t>：</w:t>
      </w:r>
      <w:r>
        <w:rPr>
          <w:rFonts w:hint="eastAsia" w:ascii="仿宋_GB2312" w:hAnsi="仿宋_GB2312" w:eastAsia="仿宋_GB2312" w:cs="仿宋_GB2312"/>
          <w:sz w:val="32"/>
          <w:szCs w:val="32"/>
          <w:highlight w:val="none"/>
        </w:rPr>
        <w:t>以同一岗位全部考生的初评成绩平均分（分别去掉2个最高分、2个最低分后的平均分）除以考生所在面试小组的初评成绩平均分（分别去掉2个最高分、2个最低分后的平均分）得出该组的修正系数，考生最后得分（校正成绩）则为考生所在面试小组得分（初评成绩）乘以该组的修正系数；所有成绩计算按“四舍五入”保留两位小数。</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8.评委组成:</w:t>
      </w:r>
      <w:r>
        <w:rPr>
          <w:rFonts w:hint="eastAsia" w:ascii="仿宋_GB2312" w:hAnsi="仿宋_GB2312" w:eastAsia="仿宋_GB2312" w:cs="仿宋_GB2312"/>
          <w:sz w:val="32"/>
          <w:szCs w:val="32"/>
          <w:highlight w:val="none"/>
        </w:rPr>
        <w:t>由</w:t>
      </w:r>
      <w:r>
        <w:rPr>
          <w:rFonts w:hint="eastAsia" w:ascii="仿宋_GB2312" w:hAnsi="仿宋" w:eastAsia="仿宋_GB2312"/>
          <w:sz w:val="32"/>
          <w:szCs w:val="32"/>
          <w:highlight w:val="none"/>
        </w:rPr>
        <w:t>区公开招聘新教师工作领导小组负责随机抽调面试评委，每组由7人组成。</w:t>
      </w:r>
    </w:p>
    <w:p>
      <w:pPr>
        <w:keepNext w:val="0"/>
        <w:keepLines w:val="0"/>
        <w:pageBreakBefore w:val="0"/>
        <w:widowControl w:val="0"/>
        <w:shd w:val="clear" w:color="auto" w:fill="FFFFFF"/>
        <w:kinsoku/>
        <w:wordWrap/>
        <w:overflowPunct/>
        <w:topLinePunct w:val="0"/>
        <w:autoSpaceDE/>
        <w:autoSpaceDN/>
        <w:bidi w:val="0"/>
        <w:spacing w:line="48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（四）体检</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1.体检时间：</w:t>
      </w:r>
      <w:r>
        <w:rPr>
          <w:rFonts w:hint="eastAsia" w:ascii="仿宋_GB2312" w:hAnsi="仿宋_GB2312" w:eastAsia="仿宋_GB2312" w:cs="仿宋_GB2312"/>
          <w:kern w:val="2"/>
          <w:sz w:val="32"/>
          <w:szCs w:val="32"/>
        </w:rPr>
        <w:t>另行通知。</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b/>
          <w:bCs/>
          <w:kern w:val="2"/>
          <w:sz w:val="32"/>
          <w:szCs w:val="32"/>
          <w:highlight w:val="none"/>
        </w:rPr>
        <w:t>2.体检地点：</w:t>
      </w:r>
      <w:r>
        <w:rPr>
          <w:rFonts w:hint="eastAsia" w:ascii="仿宋_GB2312" w:hAnsi="仿宋" w:eastAsia="仿宋_GB2312"/>
          <w:sz w:val="32"/>
          <w:szCs w:val="32"/>
          <w:highlight w:val="none"/>
          <w:lang w:eastAsia="zh-CN"/>
        </w:rPr>
        <w:t>县级及以上</w:t>
      </w:r>
      <w:r>
        <w:rPr>
          <w:rFonts w:hint="eastAsia" w:ascii="仿宋_GB2312" w:hAnsi="仿宋" w:eastAsia="仿宋_GB2312"/>
          <w:sz w:val="32"/>
          <w:szCs w:val="32"/>
          <w:highlight w:val="none"/>
        </w:rPr>
        <w:t>综合性医院</w:t>
      </w:r>
      <w:r>
        <w:rPr>
          <w:rFonts w:hint="eastAsia" w:ascii="仿宋_GB2312" w:hAnsi="仿宋_GB2312" w:eastAsia="仿宋_GB2312" w:cs="仿宋_GB2312"/>
          <w:kern w:val="2"/>
          <w:sz w:val="32"/>
          <w:szCs w:val="32"/>
          <w:highlight w:val="none"/>
        </w:rPr>
        <w:t>。</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3.体检对象：</w:t>
      </w:r>
      <w:r>
        <w:rPr>
          <w:rFonts w:hint="eastAsia" w:ascii="仿宋_GB2312" w:hAnsi="仿宋_GB2312" w:eastAsia="仿宋_GB2312" w:cs="仿宋_GB2312"/>
          <w:kern w:val="2"/>
          <w:sz w:val="32"/>
          <w:szCs w:val="32"/>
        </w:rPr>
        <w:t>根据招考人数按1</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1的比例，在考试合格的人员中,按考试总成绩（按笔试成绩和面试成绩各占50％的比例计算）从高分到低分，确定参加体检对象，面试成绩不合格的，不予确定为体检对象。若同一学科出现考试总分并列的，以笔试成绩高者为先；若笔试成绩也相同，进行加试面试，并以加试成绩高者为先。</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3" w:firstLineChars="200"/>
        <w:textAlignment w:val="auto"/>
        <w:rPr>
          <w:rFonts w:hint="eastAsia" w:ascii="仿宋_GB2312" w:hAnsi="黑体" w:eastAsia="仿宋_GB2312"/>
          <w:sz w:val="32"/>
          <w:szCs w:val="32"/>
          <w:highlight w:val="none"/>
        </w:rPr>
      </w:pPr>
      <w:r>
        <w:rPr>
          <w:rFonts w:hint="eastAsia" w:ascii="仿宋_GB2312" w:hAnsi="仿宋_GB2312" w:eastAsia="仿宋_GB2312" w:cs="仿宋_GB2312"/>
          <w:b/>
          <w:bCs/>
          <w:kern w:val="2"/>
          <w:sz w:val="32"/>
          <w:szCs w:val="32"/>
        </w:rPr>
        <w:t>4.体检标准和办法</w:t>
      </w:r>
      <w:r>
        <w:rPr>
          <w:rFonts w:hint="eastAsia" w:ascii="仿宋_GB2312" w:hAnsi="仿宋_GB2312" w:eastAsia="仿宋_GB2312" w:cs="仿宋_GB2312"/>
          <w:b/>
          <w:bCs/>
          <w:kern w:val="2"/>
          <w:sz w:val="32"/>
          <w:szCs w:val="32"/>
          <w:lang w:eastAsia="zh-CN"/>
        </w:rPr>
        <w:t>：</w:t>
      </w:r>
      <w:r>
        <w:rPr>
          <w:rFonts w:hint="eastAsia" w:ascii="仿宋_GB2312" w:hAnsi="仿宋_GB2312" w:eastAsia="仿宋_GB2312" w:cs="仿宋_GB2312"/>
          <w:sz w:val="32"/>
          <w:szCs w:val="32"/>
          <w:highlight w:val="none"/>
        </w:rPr>
        <w:t>由</w:t>
      </w:r>
      <w:r>
        <w:rPr>
          <w:rFonts w:hint="eastAsia" w:ascii="仿宋_GB2312" w:hAnsi="仿宋" w:eastAsia="仿宋_GB2312"/>
          <w:sz w:val="32"/>
          <w:szCs w:val="32"/>
          <w:highlight w:val="none"/>
        </w:rPr>
        <w:t>区公开招聘新教师工作领导小组</w:t>
      </w:r>
      <w:r>
        <w:rPr>
          <w:rFonts w:hint="eastAsia" w:ascii="仿宋_GB2312" w:hAnsi="黑体" w:eastAsia="仿宋_GB2312"/>
          <w:sz w:val="32"/>
          <w:szCs w:val="32"/>
          <w:highlight w:val="none"/>
        </w:rPr>
        <w:t>组织实施。按照福建省教育厅、福建省卫生和计划生育委员会《关于印发福建省教师资格申请人员体检标准及办法（2018年修订）的通知》（闽教师〔2018〕20号）的有关规定执行。考生对体检结果有疑问的，可在得知体检结论的7天内提出复检，允许申请复检一次，并以复检结果为准。</w:t>
      </w:r>
    </w:p>
    <w:p>
      <w:pPr>
        <w:pStyle w:val="14"/>
        <w:keepNext w:val="0"/>
        <w:keepLines w:val="0"/>
        <w:pageBreakBefore w:val="0"/>
        <w:widowControl w:val="0"/>
        <w:shd w:val="clear" w:color="auto" w:fill="FFFFFF"/>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微软雅黑" w:eastAsia="仿宋_GB2312"/>
          <w:color w:val="000000"/>
          <w:sz w:val="32"/>
          <w:szCs w:val="32"/>
          <w:highlight w:val="none"/>
        </w:rPr>
        <w:t>凡在体检中弄虚作假或者隐瞒真实情况的报考者，不予聘用或取消聘用。体检缺席者，取消聘用资格。</w:t>
      </w:r>
    </w:p>
    <w:p>
      <w:pPr>
        <w:keepNext w:val="0"/>
        <w:keepLines w:val="0"/>
        <w:pageBreakBefore w:val="0"/>
        <w:widowControl w:val="0"/>
        <w:shd w:val="clear" w:color="auto" w:fill="FFFFFF"/>
        <w:kinsoku/>
        <w:wordWrap/>
        <w:overflowPunct/>
        <w:topLinePunct w:val="0"/>
        <w:autoSpaceDE/>
        <w:autoSpaceDN/>
        <w:bidi w:val="0"/>
        <w:spacing w:line="48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（五）考察</w:t>
      </w:r>
    </w:p>
    <w:p>
      <w:pPr>
        <w:pStyle w:val="14"/>
        <w:keepNext w:val="0"/>
        <w:keepLines w:val="0"/>
        <w:pageBreakBefore w:val="0"/>
        <w:widowControl w:val="0"/>
        <w:shd w:val="clear" w:color="auto" w:fill="FFFFFF"/>
        <w:kinsoku/>
        <w:wordWrap/>
        <w:overflowPunct/>
        <w:topLinePunct w:val="0"/>
        <w:autoSpaceDE/>
        <w:autoSpaceDN/>
        <w:bidi w:val="0"/>
        <w:spacing w:line="480" w:lineRule="exact"/>
        <w:ind w:firstLine="643"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b/>
          <w:bCs/>
          <w:kern w:val="2"/>
          <w:sz w:val="32"/>
          <w:szCs w:val="32"/>
          <w:highlight w:val="none"/>
        </w:rPr>
        <w:t>1</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kern w:val="2"/>
          <w:sz w:val="32"/>
          <w:szCs w:val="32"/>
          <w:highlight w:val="none"/>
        </w:rPr>
        <w:t>考察对象</w:t>
      </w:r>
      <w:r>
        <w:rPr>
          <w:rFonts w:hint="eastAsia" w:ascii="仿宋_GB2312" w:hAnsi="仿宋_GB2312" w:eastAsia="仿宋_GB2312" w:cs="仿宋_GB2312"/>
          <w:b/>
          <w:bCs/>
          <w:kern w:val="2"/>
          <w:sz w:val="32"/>
          <w:szCs w:val="32"/>
          <w:highlight w:val="none"/>
          <w:lang w:eastAsia="zh-CN"/>
        </w:rPr>
        <w:t>：</w:t>
      </w:r>
      <w:r>
        <w:rPr>
          <w:rFonts w:ascii="仿宋_GB2312" w:hAnsi="微软雅黑" w:eastAsia="仿宋_GB2312" w:cs="宋体"/>
          <w:color w:val="000000"/>
          <w:sz w:val="32"/>
          <w:szCs w:val="32"/>
          <w:highlight w:val="none"/>
        </w:rPr>
        <w:t>按1</w:t>
      </w:r>
      <w:r>
        <w:rPr>
          <w:rFonts w:hint="eastAsia" w:ascii="仿宋_GB2312" w:hAnsi="仿宋_GB2312" w:eastAsia="仿宋_GB2312" w:cs="仿宋_GB2312"/>
          <w:sz w:val="32"/>
          <w:szCs w:val="32"/>
          <w:highlight w:val="none"/>
        </w:rPr>
        <w:t>︰</w:t>
      </w:r>
      <w:r>
        <w:rPr>
          <w:rFonts w:ascii="仿宋_GB2312" w:hAnsi="微软雅黑" w:eastAsia="仿宋_GB2312" w:cs="宋体"/>
          <w:color w:val="000000"/>
          <w:sz w:val="32"/>
          <w:szCs w:val="32"/>
          <w:highlight w:val="none"/>
        </w:rPr>
        <w:t>1比例对</w:t>
      </w:r>
      <w:r>
        <w:rPr>
          <w:rFonts w:ascii="仿宋_GB2312" w:hAnsi="微软雅黑" w:eastAsia="仿宋_GB2312" w:cs="宋体"/>
          <w:color w:val="000000"/>
          <w:sz w:val="32"/>
          <w:szCs w:val="32"/>
        </w:rPr>
        <w:t>考</w:t>
      </w:r>
      <w:r>
        <w:rPr>
          <w:rFonts w:ascii="仿宋_GB2312" w:hAnsi="微软雅黑" w:eastAsia="仿宋_GB2312" w:cs="宋体"/>
          <w:color w:val="000000"/>
          <w:sz w:val="32"/>
          <w:szCs w:val="32"/>
          <w:highlight w:val="none"/>
        </w:rPr>
        <w:t>试、体检均合格的报考者组织</w:t>
      </w:r>
      <w:r>
        <w:rPr>
          <w:rFonts w:hint="eastAsia" w:ascii="仿宋_GB2312" w:hAnsi="微软雅黑" w:eastAsia="仿宋_GB2312" w:cs="宋体"/>
          <w:color w:val="000000"/>
          <w:sz w:val="32"/>
          <w:szCs w:val="32"/>
          <w:highlight w:val="none"/>
        </w:rPr>
        <w:t>考察。</w:t>
      </w:r>
    </w:p>
    <w:p>
      <w:pPr>
        <w:pStyle w:val="14"/>
        <w:keepNext w:val="0"/>
        <w:keepLines w:val="0"/>
        <w:pageBreakBefore w:val="0"/>
        <w:widowControl w:val="0"/>
        <w:shd w:val="clear" w:color="auto" w:fill="FFFFFF"/>
        <w:kinsoku/>
        <w:wordWrap/>
        <w:overflowPunct/>
        <w:topLinePunct w:val="0"/>
        <w:autoSpaceDE/>
        <w:autoSpaceDN/>
        <w:bidi w:val="0"/>
        <w:spacing w:line="480" w:lineRule="exact"/>
        <w:ind w:firstLine="643" w:firstLineChars="200"/>
        <w:textAlignment w:val="auto"/>
        <w:rPr>
          <w:rFonts w:hint="eastAsia" w:ascii="仿宋_GB2312" w:hAnsi="黑体" w:eastAsia="仿宋_GB2312"/>
          <w:sz w:val="32"/>
          <w:szCs w:val="32"/>
          <w:highlight w:val="none"/>
          <w:lang w:eastAsia="zh-CN"/>
        </w:rPr>
      </w:pPr>
      <w:r>
        <w:rPr>
          <w:rFonts w:hint="eastAsia" w:ascii="仿宋_GB2312" w:hAnsi="仿宋_GB2312" w:eastAsia="仿宋_GB2312" w:cs="仿宋_GB2312"/>
          <w:b/>
          <w:bCs/>
          <w:kern w:val="2"/>
          <w:sz w:val="32"/>
          <w:szCs w:val="32"/>
          <w:highlight w:val="none"/>
        </w:rPr>
        <w:t>2.考察办法</w:t>
      </w:r>
      <w:r>
        <w:rPr>
          <w:rFonts w:hint="eastAsia" w:ascii="仿宋_GB2312" w:hAnsi="仿宋_GB2312" w:eastAsia="仿宋_GB2312" w:cs="仿宋_GB2312"/>
          <w:b/>
          <w:bCs/>
          <w:kern w:val="2"/>
          <w:sz w:val="32"/>
          <w:szCs w:val="32"/>
          <w:highlight w:val="none"/>
          <w:lang w:eastAsia="zh-CN"/>
        </w:rPr>
        <w:t>：</w:t>
      </w:r>
      <w:r>
        <w:rPr>
          <w:rFonts w:hint="eastAsia" w:ascii="仿宋_GB2312" w:hAnsi="仿宋_GB2312" w:eastAsia="仿宋_GB2312" w:cs="仿宋_GB2312"/>
          <w:sz w:val="32"/>
          <w:szCs w:val="32"/>
          <w:highlight w:val="none"/>
        </w:rPr>
        <w:t>由</w:t>
      </w:r>
      <w:r>
        <w:rPr>
          <w:rFonts w:hint="eastAsia" w:ascii="仿宋_GB2312" w:hAnsi="仿宋" w:eastAsia="仿宋_GB2312"/>
          <w:sz w:val="32"/>
          <w:szCs w:val="32"/>
          <w:highlight w:val="none"/>
        </w:rPr>
        <w:t>区公开招聘新教师工作领导小组</w:t>
      </w:r>
      <w:r>
        <w:rPr>
          <w:rFonts w:hint="eastAsia" w:ascii="仿宋_GB2312" w:hAnsi="黑体" w:eastAsia="仿宋_GB2312"/>
          <w:sz w:val="32"/>
          <w:szCs w:val="32"/>
          <w:highlight w:val="none"/>
        </w:rPr>
        <w:t>组织实施（样表见附件3）。</w:t>
      </w:r>
    </w:p>
    <w:p>
      <w:pPr>
        <w:pStyle w:val="14"/>
        <w:keepNext w:val="0"/>
        <w:keepLines w:val="0"/>
        <w:pageBreakBefore w:val="0"/>
        <w:widowControl w:val="0"/>
        <w:shd w:val="clear" w:color="auto" w:fill="FFFFFF"/>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微软雅黑" w:eastAsia="仿宋_GB2312" w:cs="宋体"/>
          <w:color w:val="000000"/>
          <w:sz w:val="32"/>
          <w:szCs w:val="32"/>
        </w:rPr>
        <w:t>考察对象被法院列为失信被执行人或被国家有关部门列为失信被惩戒对象的，取消</w:t>
      </w:r>
      <w:r>
        <w:rPr>
          <w:rFonts w:hint="eastAsia" w:ascii="仿宋_GB2312" w:hAnsi="微软雅黑" w:eastAsia="仿宋_GB2312" w:cs="宋体"/>
          <w:color w:val="000000"/>
          <w:sz w:val="32"/>
          <w:szCs w:val="32"/>
          <w:lang w:eastAsia="zh-CN"/>
        </w:rPr>
        <w:t>聘用</w:t>
      </w:r>
      <w:r>
        <w:rPr>
          <w:rFonts w:hint="eastAsia" w:ascii="仿宋_GB2312" w:hAnsi="微软雅黑" w:eastAsia="仿宋_GB2312" w:cs="宋体"/>
          <w:color w:val="000000"/>
          <w:sz w:val="32"/>
          <w:szCs w:val="32"/>
        </w:rPr>
        <w:t>资格。</w:t>
      </w:r>
    </w:p>
    <w:p>
      <w:pPr>
        <w:keepNext w:val="0"/>
        <w:keepLines w:val="0"/>
        <w:pageBreakBefore w:val="0"/>
        <w:widowControl w:val="0"/>
        <w:shd w:val="clear" w:color="auto" w:fill="FFFFFF"/>
        <w:kinsoku/>
        <w:wordWrap/>
        <w:overflowPunct/>
        <w:topLinePunct w:val="0"/>
        <w:autoSpaceDE/>
        <w:autoSpaceDN/>
        <w:bidi w:val="0"/>
        <w:spacing w:line="48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（六）聘用</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拟聘用人员由</w:t>
      </w:r>
      <w:r>
        <w:rPr>
          <w:rFonts w:hint="eastAsia" w:ascii="仿宋_GB2312" w:hAnsi="仿宋" w:eastAsia="仿宋_GB2312"/>
          <w:sz w:val="32"/>
          <w:szCs w:val="32"/>
          <w:highlight w:val="none"/>
        </w:rPr>
        <w:t>区公开招聘新教师工作领导小组</w:t>
      </w:r>
      <w:r>
        <w:rPr>
          <w:rFonts w:hint="eastAsia" w:ascii="仿宋_GB2312" w:hAnsi="仿宋_GB2312" w:eastAsia="仿宋_GB2312" w:cs="仿宋_GB2312"/>
          <w:kern w:val="2"/>
          <w:sz w:val="32"/>
          <w:szCs w:val="32"/>
        </w:rPr>
        <w:t>按规定的程序和标准从考试成绩、考察情况和体检结果均合格的人员中综合考虑，择优确定，并在网站上公示7天。公示内容包括拟聘用人员姓名、性别、准考证号、所在工作单位或毕业院校，同时公布监督电话，接受社会监督。</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入聘签约时，入聘对象须持本人身份证参加签约。所有入聘对象均须随带毕业证书、教师资格证书原件及复印件各一份，无法提供者，取消其入聘资格。不按时参加签约的，视同放弃资格。入聘签约时间另行通知。</w:t>
      </w:r>
    </w:p>
    <w:p>
      <w:pPr>
        <w:keepNext w:val="0"/>
        <w:keepLines w:val="0"/>
        <w:pageBreakBefore w:val="0"/>
        <w:widowControl w:val="0"/>
        <w:shd w:val="clear" w:color="auto" w:fill="FFFFFF"/>
        <w:kinsoku/>
        <w:wordWrap/>
        <w:overflowPunct/>
        <w:topLinePunct w:val="0"/>
        <w:autoSpaceDE/>
        <w:autoSpaceDN/>
        <w:bidi w:val="0"/>
        <w:spacing w:line="48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（七）递补</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Cs/>
          <w:sz w:val="32"/>
          <w:szCs w:val="32"/>
        </w:rPr>
        <w:t>进入体检、考察的人员因体检、考察缺席或不合格而造成招考职位空缺的，</w:t>
      </w:r>
      <w:r>
        <w:rPr>
          <w:rFonts w:hint="eastAsia" w:ascii="仿宋_GB2312" w:hAnsi="仿宋_GB2312" w:eastAsia="仿宋_GB2312" w:cs="仿宋_GB2312"/>
          <w:kern w:val="2"/>
          <w:sz w:val="32"/>
          <w:szCs w:val="32"/>
        </w:rPr>
        <w:t>原则上</w:t>
      </w:r>
      <w:r>
        <w:rPr>
          <w:rFonts w:hint="eastAsia" w:ascii="仿宋_GB2312" w:hAnsi="仿宋" w:eastAsia="仿宋_GB2312"/>
          <w:sz w:val="32"/>
          <w:szCs w:val="32"/>
          <w:highlight w:val="none"/>
        </w:rPr>
        <w:t>区公开招聘新教师工作领导小组</w:t>
      </w:r>
      <w:r>
        <w:rPr>
          <w:rFonts w:hint="eastAsia" w:ascii="仿宋_GB2312" w:hAnsi="仿宋" w:eastAsia="仿宋_GB2312"/>
          <w:sz w:val="32"/>
          <w:szCs w:val="32"/>
          <w:highlight w:val="none"/>
          <w:lang w:eastAsia="zh-CN"/>
        </w:rPr>
        <w:t>应</w:t>
      </w:r>
      <w:r>
        <w:rPr>
          <w:rFonts w:hint="eastAsia" w:ascii="仿宋_GB2312" w:hAnsi="仿宋_GB2312" w:eastAsia="仿宋_GB2312" w:cs="仿宋_GB2312"/>
          <w:kern w:val="2"/>
          <w:sz w:val="32"/>
          <w:szCs w:val="32"/>
        </w:rPr>
        <w:t>从报考该岗位进入面试的人员中按照考试总成绩由高到低确定递补人选。</w:t>
      </w:r>
    </w:p>
    <w:p>
      <w:pPr>
        <w:keepNext w:val="0"/>
        <w:keepLines w:val="0"/>
        <w:pageBreakBefore w:val="0"/>
        <w:widowControl w:val="0"/>
        <w:shd w:val="clear" w:color="auto" w:fill="FFFFFF"/>
        <w:kinsoku/>
        <w:wordWrap/>
        <w:overflowPunct/>
        <w:topLinePunct w:val="0"/>
        <w:autoSpaceDE/>
        <w:autoSpaceDN/>
        <w:bidi w:val="0"/>
        <w:spacing w:line="48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（八）补充招聘</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第一轮公开招聘结束后，未完成招聘的空缺岗位（名额）报经市人社局同意后再向社会公布。参加全省统一笔试但未被聘用且符合报考条件的应聘者，可登录中小学新任教师公开招聘报名系统进行补充招聘报名，每位应聘者可报考1个岗位，已被聘用或拟聘用的不得参加补充招聘。根据补充招聘应聘者笔试成绩从高到低，按照拟聘人数与进入面试人数1︰3的比例确定面试人选。</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宋体"/>
          <w:bCs/>
          <w:kern w:val="0"/>
          <w:sz w:val="32"/>
          <w:szCs w:val="32"/>
        </w:rPr>
      </w:pPr>
      <w:r>
        <w:rPr>
          <w:rFonts w:hint="eastAsia" w:ascii="黑体" w:hAnsi="黑体" w:eastAsia="黑体" w:cs="黑体"/>
          <w:bCs/>
          <w:kern w:val="0"/>
          <w:sz w:val="32"/>
          <w:szCs w:val="32"/>
          <w:lang w:eastAsia="zh-CN"/>
        </w:rPr>
        <w:t>五</w:t>
      </w:r>
      <w:r>
        <w:rPr>
          <w:rFonts w:hint="eastAsia" w:ascii="黑体" w:hAnsi="黑体" w:eastAsia="黑体" w:cs="黑体"/>
          <w:bCs/>
          <w:kern w:val="0"/>
          <w:sz w:val="32"/>
          <w:szCs w:val="32"/>
        </w:rPr>
        <w:t>、</w:t>
      </w:r>
      <w:r>
        <w:rPr>
          <w:rFonts w:hint="eastAsia" w:ascii="黑体" w:hAnsi="黑体" w:eastAsia="黑体" w:cs="黑体"/>
          <w:bCs/>
          <w:kern w:val="0"/>
          <w:sz w:val="32"/>
          <w:szCs w:val="32"/>
          <w:lang w:eastAsia="zh-CN"/>
        </w:rPr>
        <w:t>其他</w:t>
      </w:r>
      <w:r>
        <w:rPr>
          <w:rFonts w:hint="eastAsia" w:ascii="黑体" w:hAnsi="黑体" w:eastAsia="黑体" w:cs="黑体"/>
          <w:bCs/>
          <w:kern w:val="0"/>
          <w:sz w:val="32"/>
          <w:szCs w:val="32"/>
        </w:rPr>
        <w:t>事项</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1.新招聘教师实行最低3年服务年限制度。</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2.本次考试不指定考试辅导用书，不举办也不委托任何机构和组织举办考试辅导培训班。社会上凡称与本次考试相关的复习教材、培训班、网站、上网卡、试题等，误导报考人员的，均与</w:t>
      </w:r>
      <w:r>
        <w:rPr>
          <w:rFonts w:hint="eastAsia" w:ascii="仿宋_GB2312" w:hAnsi="仿宋" w:eastAsia="仿宋_GB2312"/>
          <w:sz w:val="32"/>
          <w:szCs w:val="32"/>
          <w:highlight w:val="none"/>
        </w:rPr>
        <w:t>区公开招聘新教师工作领导小组</w:t>
      </w:r>
      <w:r>
        <w:rPr>
          <w:rFonts w:hint="eastAsia" w:ascii="仿宋_GB2312" w:hAnsi="仿宋_GB2312" w:eastAsia="仿宋_GB2312" w:cs="仿宋_GB2312"/>
          <w:kern w:val="2"/>
          <w:sz w:val="32"/>
          <w:szCs w:val="32"/>
        </w:rPr>
        <w:t xml:space="preserve">无关。郑重提醒广大报考者要诚信考试，提高警惕，切勿上当受骗。 </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3.公开招聘相关事宜均在</w:t>
      </w:r>
      <w:r>
        <w:rPr>
          <w:rFonts w:hint="eastAsia" w:ascii="仿宋_GB2312" w:hAnsi="仿宋" w:eastAsia="仿宋_GB2312"/>
          <w:sz w:val="32"/>
          <w:szCs w:val="32"/>
          <w:highlight w:val="none"/>
          <w:lang w:eastAsia="zh-CN"/>
        </w:rPr>
        <w:t>莆田市涵江区人民政府网站“教育专栏”</w:t>
      </w:r>
      <w:r>
        <w:rPr>
          <w:rFonts w:hint="eastAsia" w:ascii="仿宋_GB2312" w:hAnsi="仿宋" w:eastAsia="仿宋_GB2312"/>
          <w:color w:val="auto"/>
          <w:sz w:val="32"/>
          <w:szCs w:val="32"/>
          <w:highlight w:val="none"/>
        </w:rPr>
        <w:t>（http://www.pthj.gov.cn/ztzl/jyzl/）</w:t>
      </w:r>
      <w:r>
        <w:rPr>
          <w:rFonts w:hint="eastAsia" w:ascii="仿宋_GB2312" w:hAnsi="仿宋_GB2312" w:eastAsia="仿宋_GB2312" w:cs="仿宋_GB2312"/>
          <w:kern w:val="2"/>
          <w:sz w:val="32"/>
          <w:szCs w:val="32"/>
        </w:rPr>
        <w:t>上公布，</w:t>
      </w:r>
      <w:r>
        <w:rPr>
          <w:rFonts w:hint="eastAsia" w:ascii="仿宋_GB2312" w:hAnsi="仿宋" w:eastAsia="仿宋_GB2312"/>
          <w:color w:val="auto"/>
          <w:sz w:val="32"/>
          <w:szCs w:val="32"/>
          <w:highlight w:val="none"/>
          <w:lang w:eastAsia="zh-CN"/>
        </w:rPr>
        <w:t>不再另行通知，</w:t>
      </w:r>
      <w:r>
        <w:rPr>
          <w:rFonts w:hint="eastAsia" w:ascii="仿宋_GB2312" w:hAnsi="仿宋_GB2312" w:eastAsia="仿宋_GB2312" w:cs="仿宋_GB2312"/>
          <w:kern w:val="2"/>
          <w:sz w:val="32"/>
          <w:szCs w:val="32"/>
        </w:rPr>
        <w:t>敬请关注。本通告未尽事宜由</w:t>
      </w:r>
      <w:r>
        <w:rPr>
          <w:rFonts w:hint="eastAsia" w:ascii="仿宋_GB2312" w:hAnsi="仿宋" w:eastAsia="仿宋_GB2312"/>
          <w:sz w:val="32"/>
          <w:szCs w:val="32"/>
          <w:highlight w:val="none"/>
        </w:rPr>
        <w:t>区公开招聘新教师工作领导小组</w:t>
      </w:r>
      <w:r>
        <w:rPr>
          <w:rFonts w:hint="eastAsia" w:ascii="仿宋_GB2312" w:hAnsi="仿宋_GB2312" w:eastAsia="仿宋_GB2312" w:cs="仿宋_GB2312"/>
          <w:kern w:val="2"/>
          <w:sz w:val="32"/>
          <w:szCs w:val="32"/>
        </w:rPr>
        <w:t>负责解释。</w:t>
      </w:r>
      <w:r>
        <w:rPr>
          <w:rFonts w:hint="eastAsia" w:ascii="仿宋_GB2312" w:hAnsi="仿宋_GB2312" w:eastAsia="仿宋_GB2312" w:cs="仿宋_GB2312"/>
          <w:sz w:val="32"/>
          <w:szCs w:val="32"/>
          <w:highlight w:val="none"/>
          <w:lang w:eastAsia="zh-CN"/>
        </w:rPr>
        <w:t>联系电话：</w:t>
      </w:r>
      <w:r>
        <w:rPr>
          <w:rFonts w:hint="eastAsia" w:ascii="仿宋_GB2312" w:hAnsi="仿宋_GB2312" w:eastAsia="仿宋_GB2312" w:cs="仿宋_GB2312"/>
          <w:sz w:val="32"/>
          <w:szCs w:val="32"/>
          <w:highlight w:val="none"/>
          <w:lang w:val="en-US" w:eastAsia="zh-CN"/>
        </w:rPr>
        <w:t>0594－6709212。</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附件</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1</w:t>
      </w:r>
      <w:r>
        <w:rPr>
          <w:rFonts w:hint="default" w:ascii="仿宋_GB2312" w:hAnsi="仿宋" w:eastAsia="仿宋_GB2312"/>
          <w:sz w:val="32"/>
          <w:szCs w:val="32"/>
          <w:highlight w:val="none"/>
          <w:lang w:val="en-US" w:eastAsia="zh-CN"/>
        </w:rPr>
        <w:t>.</w:t>
      </w: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21</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莆田市</w:t>
      </w:r>
      <w:r>
        <w:rPr>
          <w:rFonts w:hint="eastAsia" w:ascii="仿宋_GB2312" w:hAnsi="仿宋" w:eastAsia="仿宋_GB2312"/>
          <w:sz w:val="32"/>
          <w:szCs w:val="32"/>
          <w:highlight w:val="none"/>
        </w:rPr>
        <w:t>涵江区公开招聘新任教师岗位设置一览表</w:t>
      </w: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left="0" w:leftChars="0" w:right="0" w:rightChars="0" w:firstLine="924" w:firstLineChars="300"/>
        <w:jc w:val="left"/>
        <w:textAlignment w:val="auto"/>
        <w:outlineLvl w:val="9"/>
        <w:rPr>
          <w:rFonts w:hint="eastAsia" w:ascii="仿宋_GB2312" w:hAnsi="仿宋" w:eastAsia="仿宋_GB2312"/>
          <w:sz w:val="32"/>
          <w:szCs w:val="32"/>
          <w:highlight w:val="none"/>
        </w:rPr>
      </w:pPr>
      <w:r>
        <w:rPr>
          <w:rFonts w:hint="eastAsia" w:ascii="仿宋_GB2312" w:hAnsi="仿宋" w:eastAsia="仿宋_GB2312"/>
          <w:spacing w:val="-6"/>
          <w:sz w:val="32"/>
          <w:szCs w:val="32"/>
          <w:highlight w:val="none"/>
        </w:rPr>
        <w:t>2</w:t>
      </w:r>
      <w:r>
        <w:rPr>
          <w:rFonts w:hint="default" w:ascii="仿宋_GB2312" w:hAnsi="仿宋" w:eastAsia="仿宋_GB2312"/>
          <w:spacing w:val="-6"/>
          <w:sz w:val="32"/>
          <w:szCs w:val="32"/>
          <w:highlight w:val="none"/>
          <w:lang w:val="en-US" w:eastAsia="zh-CN"/>
        </w:rPr>
        <w:t>.</w:t>
      </w:r>
      <w:r>
        <w:rPr>
          <w:rFonts w:hint="eastAsia" w:ascii="仿宋_GB2312" w:hAnsi="仿宋" w:eastAsia="仿宋_GB2312"/>
          <w:spacing w:val="-6"/>
          <w:sz w:val="32"/>
          <w:szCs w:val="32"/>
          <w:highlight w:val="none"/>
        </w:rPr>
        <w:t>20</w:t>
      </w:r>
      <w:r>
        <w:rPr>
          <w:rFonts w:hint="eastAsia" w:ascii="仿宋_GB2312" w:hAnsi="仿宋" w:eastAsia="仿宋_GB2312"/>
          <w:spacing w:val="-6"/>
          <w:sz w:val="32"/>
          <w:szCs w:val="32"/>
          <w:highlight w:val="none"/>
          <w:lang w:val="en-US" w:eastAsia="zh-CN"/>
        </w:rPr>
        <w:t>21</w:t>
      </w:r>
      <w:r>
        <w:rPr>
          <w:rFonts w:hint="eastAsia" w:ascii="仿宋_GB2312" w:hAnsi="仿宋" w:eastAsia="仿宋_GB2312"/>
          <w:spacing w:val="-6"/>
          <w:sz w:val="32"/>
          <w:szCs w:val="32"/>
          <w:highlight w:val="none"/>
        </w:rPr>
        <w:t>年</w:t>
      </w:r>
      <w:r>
        <w:rPr>
          <w:rFonts w:hint="eastAsia" w:ascii="仿宋_GB2312" w:hAnsi="仿宋" w:eastAsia="仿宋_GB2312"/>
          <w:spacing w:val="-6"/>
          <w:sz w:val="32"/>
          <w:szCs w:val="32"/>
          <w:highlight w:val="none"/>
          <w:lang w:eastAsia="zh-CN"/>
        </w:rPr>
        <w:t>莆田市</w:t>
      </w:r>
      <w:r>
        <w:rPr>
          <w:rFonts w:hint="eastAsia" w:ascii="仿宋_GB2312" w:hAnsi="仿宋" w:eastAsia="仿宋_GB2312"/>
          <w:spacing w:val="-6"/>
          <w:sz w:val="32"/>
          <w:szCs w:val="32"/>
          <w:highlight w:val="none"/>
        </w:rPr>
        <w:t>涵江区公开招聘新任教师面试使用教材范围</w:t>
      </w: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left="0" w:leftChars="0" w:right="0" w:rightChars="0" w:firstLine="960" w:firstLineChars="300"/>
        <w:jc w:val="left"/>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3</w:t>
      </w:r>
      <w:r>
        <w:rPr>
          <w:rFonts w:hint="default" w:ascii="仿宋_GB2312" w:hAnsi="仿宋" w:eastAsia="仿宋_GB2312"/>
          <w:sz w:val="32"/>
          <w:szCs w:val="32"/>
          <w:highlight w:val="none"/>
          <w:lang w:val="en-US" w:eastAsia="zh-CN"/>
        </w:rPr>
        <w:t>.</w:t>
      </w:r>
      <w:r>
        <w:rPr>
          <w:rFonts w:hint="eastAsia" w:ascii="仿宋_GB2312" w:hAnsi="仿宋" w:eastAsia="仿宋_GB2312"/>
          <w:spacing w:val="-6"/>
          <w:sz w:val="32"/>
          <w:szCs w:val="32"/>
          <w:highlight w:val="none"/>
        </w:rPr>
        <w:t>20</w:t>
      </w:r>
      <w:r>
        <w:rPr>
          <w:rFonts w:hint="eastAsia" w:ascii="仿宋_GB2312" w:hAnsi="仿宋" w:eastAsia="仿宋_GB2312"/>
          <w:spacing w:val="-6"/>
          <w:sz w:val="32"/>
          <w:szCs w:val="32"/>
          <w:highlight w:val="none"/>
          <w:lang w:val="en-US" w:eastAsia="zh-CN"/>
        </w:rPr>
        <w:t>21</w:t>
      </w:r>
      <w:r>
        <w:rPr>
          <w:rFonts w:hint="eastAsia" w:ascii="仿宋_GB2312" w:hAnsi="仿宋" w:eastAsia="仿宋_GB2312"/>
          <w:spacing w:val="-6"/>
          <w:sz w:val="32"/>
          <w:szCs w:val="32"/>
          <w:highlight w:val="none"/>
        </w:rPr>
        <w:t>年</w:t>
      </w:r>
      <w:r>
        <w:rPr>
          <w:rFonts w:hint="eastAsia" w:ascii="仿宋_GB2312" w:hAnsi="仿宋" w:eastAsia="仿宋_GB2312"/>
          <w:spacing w:val="-6"/>
          <w:sz w:val="32"/>
          <w:szCs w:val="32"/>
          <w:highlight w:val="none"/>
          <w:lang w:eastAsia="zh-CN"/>
        </w:rPr>
        <w:t>莆田市</w:t>
      </w:r>
      <w:r>
        <w:rPr>
          <w:rFonts w:hint="eastAsia" w:ascii="仿宋_GB2312" w:hAnsi="仿宋" w:eastAsia="仿宋_GB2312"/>
          <w:spacing w:val="-6"/>
          <w:sz w:val="32"/>
          <w:szCs w:val="32"/>
          <w:highlight w:val="none"/>
        </w:rPr>
        <w:t>涵江区</w:t>
      </w:r>
      <w:r>
        <w:rPr>
          <w:rFonts w:hint="eastAsia" w:ascii="仿宋_GB2312" w:hAnsi="仿宋" w:eastAsia="仿宋_GB2312"/>
          <w:sz w:val="32"/>
          <w:szCs w:val="32"/>
          <w:highlight w:val="none"/>
        </w:rPr>
        <w:t>公开招聘新任教师聘用</w:t>
      </w:r>
      <w:r>
        <w:rPr>
          <w:rFonts w:hint="eastAsia" w:ascii="仿宋_GB2312" w:hAnsi="仿宋" w:eastAsia="仿宋_GB2312"/>
          <w:sz w:val="32"/>
          <w:szCs w:val="32"/>
          <w:highlight w:val="none"/>
          <w:lang w:eastAsia="zh-CN"/>
        </w:rPr>
        <w:t>考</w:t>
      </w:r>
      <w:r>
        <w:rPr>
          <w:rFonts w:hint="eastAsia" w:ascii="仿宋_GB2312" w:hAnsi="仿宋" w:eastAsia="仿宋_GB2312"/>
          <w:sz w:val="32"/>
          <w:szCs w:val="32"/>
          <w:highlight w:val="none"/>
        </w:rPr>
        <w:t>查表</w:t>
      </w: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left="0" w:leftChars="0" w:right="0" w:rightChars="0" w:firstLine="960" w:firstLineChars="300"/>
        <w:jc w:val="left"/>
        <w:textAlignment w:val="auto"/>
        <w:outlineLvl w:val="9"/>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rPr>
        <w:t>4</w:t>
      </w:r>
      <w:r>
        <w:rPr>
          <w:rFonts w:hint="default" w:ascii="仿宋_GB2312" w:hAnsi="仿宋" w:eastAsia="仿宋_GB2312"/>
          <w:sz w:val="32"/>
          <w:szCs w:val="32"/>
          <w:highlight w:val="none"/>
          <w:lang w:val="en-US" w:eastAsia="zh-CN"/>
        </w:rPr>
        <w:t>.</w:t>
      </w:r>
      <w:r>
        <w:rPr>
          <w:rFonts w:hint="eastAsia" w:ascii="仿宋_GB2312" w:hAnsi="仿宋" w:eastAsia="仿宋_GB2312"/>
          <w:sz w:val="32"/>
          <w:szCs w:val="32"/>
          <w:highlight w:val="none"/>
          <w:lang w:val="en-US" w:eastAsia="zh-CN"/>
        </w:rPr>
        <w:t>笔试加分文件：</w:t>
      </w: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left="0" w:leftChars="0" w:right="0" w:rightChars="0" w:firstLine="960" w:firstLineChars="300"/>
        <w:jc w:val="left"/>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①《关于转发&lt;事业单位公开招聘人员暂行规定&gt;的通知》</w:t>
      </w: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left="0" w:leftChars="0" w:right="0" w:rightChars="0" w:firstLine="960" w:firstLineChars="300"/>
        <w:jc w:val="left"/>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（闽人发[2006]10号）</w:t>
      </w: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right="0" w:rightChars="0" w:firstLine="960" w:firstLineChars="300"/>
        <w:jc w:val="left"/>
        <w:textAlignment w:val="auto"/>
        <w:outlineLvl w:val="9"/>
        <w:rPr>
          <w:rFonts w:hint="eastAsia" w:ascii="仿宋_GB2312" w:hAnsi="仿宋" w:eastAsia="仿宋_GB2312"/>
          <w:spacing w:val="-6"/>
          <w:sz w:val="32"/>
          <w:szCs w:val="32"/>
          <w:highlight w:val="none"/>
        </w:rPr>
      </w:pPr>
      <w:r>
        <w:rPr>
          <w:rFonts w:hint="eastAsia" w:ascii="仿宋_GB2312" w:hAnsi="仿宋" w:eastAsia="仿宋_GB2312"/>
          <w:sz w:val="32"/>
          <w:szCs w:val="32"/>
          <w:highlight w:val="none"/>
        </w:rPr>
        <w:t>②</w:t>
      </w:r>
      <w:r>
        <w:rPr>
          <w:rFonts w:hint="eastAsia" w:ascii="仿宋_GB2312" w:hAnsi="仿宋" w:eastAsia="仿宋_GB2312"/>
          <w:spacing w:val="-6"/>
          <w:sz w:val="32"/>
          <w:szCs w:val="32"/>
          <w:highlight w:val="none"/>
        </w:rPr>
        <w:t>《关于进一步完善参加“三支一扶”计划等服务基层项目</w:t>
      </w: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right="0" w:rightChars="0" w:firstLine="924" w:firstLineChars="300"/>
        <w:jc w:val="left"/>
        <w:textAlignment w:val="auto"/>
        <w:outlineLvl w:val="9"/>
        <w:rPr>
          <w:rFonts w:hint="eastAsia" w:ascii="仿宋_GB2312" w:hAnsi="仿宋" w:eastAsia="仿宋_GB2312"/>
          <w:sz w:val="32"/>
          <w:szCs w:val="32"/>
          <w:highlight w:val="none"/>
        </w:rPr>
      </w:pPr>
      <w:r>
        <w:rPr>
          <w:rFonts w:hint="eastAsia" w:ascii="仿宋_GB2312" w:hAnsi="仿宋" w:eastAsia="仿宋_GB2312"/>
          <w:spacing w:val="-6"/>
          <w:sz w:val="32"/>
          <w:szCs w:val="32"/>
          <w:highlight w:val="none"/>
        </w:rPr>
        <w:t>高校毕业生有关就业政策的通知》（闽人发[2009]221号）</w:t>
      </w: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left="0" w:leftChars="0" w:right="0" w:rightChars="0" w:firstLine="960" w:firstLineChars="300"/>
        <w:jc w:val="left"/>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③《关于农村独女户、二女户女儿在参加事业单位招聘时</w:t>
      </w: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left="0" w:leftChars="0" w:right="0" w:rightChars="0" w:firstLine="960" w:firstLineChars="300"/>
        <w:jc w:val="left"/>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给予加分的通知》（莆政办[2012]225号）</w:t>
      </w: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left="0" w:leftChars="0" w:right="0" w:rightChars="0" w:firstLine="960" w:firstLineChars="300"/>
        <w:jc w:val="left"/>
        <w:textAlignment w:val="auto"/>
        <w:outlineLvl w:val="9"/>
        <w:rPr>
          <w:rFonts w:hint="eastAsia" w:ascii="仿宋_GB2312" w:hAnsi="仿宋" w:eastAsia="仿宋_GB2312"/>
          <w:sz w:val="32"/>
          <w:szCs w:val="32"/>
          <w:highlight w:val="none"/>
          <w:lang w:eastAsia="zh-CN"/>
        </w:rPr>
      </w:pPr>
      <w:r>
        <w:rPr>
          <w:rFonts w:hint="eastAsia" w:ascii="仿宋_GB2312" w:hAnsi="仿宋_GB2312" w:eastAsia="仿宋_GB2312" w:cs="仿宋_GB2312"/>
          <w:sz w:val="32"/>
          <w:szCs w:val="32"/>
          <w:highlight w:val="none"/>
        </w:rPr>
        <w:t>④</w:t>
      </w:r>
      <w:r>
        <w:rPr>
          <w:rFonts w:hint="eastAsia" w:ascii="仿宋_GB2312" w:hAnsi="仿宋" w:eastAsia="仿宋_GB2312"/>
          <w:sz w:val="32"/>
          <w:szCs w:val="32"/>
          <w:highlight w:val="none"/>
        </w:rPr>
        <w:t>《关于进一步做好引进人才家属子女就业工作的通知</w:t>
      </w:r>
      <w:r>
        <w:rPr>
          <w:rFonts w:hint="eastAsia" w:ascii="仿宋_GB2312" w:hAnsi="仿宋" w:eastAsia="仿宋_GB2312"/>
          <w:sz w:val="32"/>
          <w:szCs w:val="32"/>
          <w:highlight w:val="none"/>
          <w:lang w:eastAsia="zh-CN"/>
        </w:rPr>
        <w:t>》</w:t>
      </w: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left="0" w:leftChars="0" w:right="0" w:rightChars="0" w:firstLine="960" w:firstLineChars="300"/>
        <w:jc w:val="left"/>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莆委办〔2010〕64号</w:t>
      </w:r>
      <w:r>
        <w:rPr>
          <w:rFonts w:hint="eastAsia" w:ascii="仿宋_GB2312" w:hAnsi="仿宋"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 w:eastAsia="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 w:eastAsia="仿宋_GB2312"/>
          <w:sz w:val="32"/>
          <w:szCs w:val="32"/>
          <w:highlight w:val="none"/>
        </w:rPr>
      </w:pP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left="0" w:leftChars="0" w:right="0" w:rightChars="0" w:firstLine="3600" w:firstLineChars="1125"/>
        <w:jc w:val="center"/>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涵江区公开招聘新教师工作领导小组</w:t>
      </w: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left="0" w:leftChars="0" w:right="0" w:rightChars="0" w:firstLine="3600" w:firstLineChars="1125"/>
        <w:jc w:val="center"/>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20</w:t>
      </w:r>
      <w:r>
        <w:rPr>
          <w:rFonts w:hint="eastAsia" w:ascii="仿宋_GB2312" w:hAnsi="仿宋" w:eastAsia="仿宋_GB2312"/>
          <w:sz w:val="32"/>
          <w:szCs w:val="32"/>
          <w:highlight w:val="none"/>
          <w:lang w:val="en-US" w:eastAsia="zh-CN"/>
        </w:rPr>
        <w:t>21</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12</w:t>
      </w:r>
      <w:r>
        <w:rPr>
          <w:rFonts w:hint="eastAsia" w:ascii="仿宋_GB2312" w:hAnsi="仿宋" w:eastAsia="仿宋_GB2312"/>
          <w:sz w:val="32"/>
          <w:szCs w:val="32"/>
          <w:highlight w:val="none"/>
        </w:rPr>
        <w:t>日</w:t>
      </w: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 w:eastAsia="仿宋_GB2312"/>
          <w:sz w:val="32"/>
          <w:szCs w:val="32"/>
          <w:highlight w:val="none"/>
        </w:rPr>
      </w:pP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 w:eastAsia="仿宋_GB2312"/>
          <w:sz w:val="32"/>
          <w:szCs w:val="32"/>
          <w:highlight w:val="none"/>
        </w:rPr>
      </w:pP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 w:eastAsia="仿宋_GB2312"/>
          <w:sz w:val="32"/>
          <w:szCs w:val="32"/>
          <w:highlight w:val="none"/>
        </w:rPr>
      </w:pP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 w:eastAsia="仿宋_GB2312"/>
          <w:sz w:val="32"/>
          <w:szCs w:val="32"/>
          <w:highlight w:val="none"/>
        </w:rPr>
      </w:pP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 w:eastAsia="仿宋_GB2312"/>
          <w:sz w:val="32"/>
          <w:szCs w:val="32"/>
          <w:highlight w:val="none"/>
        </w:rPr>
      </w:pP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 w:eastAsia="仿宋_GB2312"/>
          <w:sz w:val="32"/>
          <w:szCs w:val="32"/>
          <w:highlight w:val="none"/>
        </w:rPr>
      </w:pP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 w:eastAsia="仿宋_GB2312"/>
          <w:sz w:val="32"/>
          <w:szCs w:val="32"/>
          <w:highlight w:val="none"/>
        </w:rPr>
      </w:pP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 w:eastAsia="仿宋_GB2312"/>
          <w:sz w:val="32"/>
          <w:szCs w:val="32"/>
          <w:highlight w:val="none"/>
        </w:rPr>
      </w:pP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 w:eastAsia="仿宋_GB2312"/>
          <w:sz w:val="32"/>
          <w:szCs w:val="32"/>
          <w:highlight w:val="none"/>
        </w:rPr>
      </w:pP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 w:eastAsia="仿宋_GB2312"/>
          <w:sz w:val="32"/>
          <w:szCs w:val="32"/>
          <w:highlight w:val="none"/>
        </w:rPr>
      </w:pP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 w:eastAsia="仿宋_GB2312"/>
          <w:sz w:val="32"/>
          <w:szCs w:val="32"/>
          <w:highlight w:val="none"/>
        </w:rPr>
      </w:pPr>
    </w:p>
    <w:tbl>
      <w:tblPr>
        <w:tblStyle w:val="5"/>
        <w:tblW w:w="9044" w:type="dxa"/>
        <w:jc w:val="center"/>
        <w:tblLayout w:type="fixed"/>
        <w:tblCellMar>
          <w:top w:w="0" w:type="dxa"/>
          <w:left w:w="108" w:type="dxa"/>
          <w:bottom w:w="0" w:type="dxa"/>
          <w:right w:w="108" w:type="dxa"/>
        </w:tblCellMar>
      </w:tblPr>
      <w:tblGrid>
        <w:gridCol w:w="683"/>
        <w:gridCol w:w="1390"/>
        <w:gridCol w:w="668"/>
        <w:gridCol w:w="6303"/>
      </w:tblGrid>
      <w:tr>
        <w:tblPrEx>
          <w:tblCellMar>
            <w:top w:w="0" w:type="dxa"/>
            <w:left w:w="108" w:type="dxa"/>
            <w:bottom w:w="0" w:type="dxa"/>
            <w:right w:w="108" w:type="dxa"/>
          </w:tblCellMar>
        </w:tblPrEx>
        <w:trPr>
          <w:trHeight w:val="225" w:hRule="atLeast"/>
          <w:jc w:val="center"/>
        </w:trPr>
        <w:tc>
          <w:tcPr>
            <w:tcW w:w="9044" w:type="dxa"/>
            <w:gridSpan w:val="4"/>
            <w:tcBorders>
              <w:top w:val="nil"/>
              <w:left w:val="nil"/>
              <w:bottom w:val="nil"/>
              <w:right w:val="nil"/>
            </w:tcBorders>
            <w:noWrap w:val="0"/>
            <w:vAlign w:val="center"/>
          </w:tcPr>
          <w:p>
            <w:pPr>
              <w:shd w:val="clear" w:color="auto" w:fill="FFFFFF"/>
              <w:spacing w:line="500" w:lineRule="exact"/>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附件1：</w:t>
            </w:r>
          </w:p>
        </w:tc>
      </w:tr>
      <w:tr>
        <w:tblPrEx>
          <w:tblCellMar>
            <w:top w:w="0" w:type="dxa"/>
            <w:left w:w="108" w:type="dxa"/>
            <w:bottom w:w="0" w:type="dxa"/>
            <w:right w:w="108" w:type="dxa"/>
          </w:tblCellMar>
        </w:tblPrEx>
        <w:trPr>
          <w:trHeight w:val="315" w:hRule="atLeast"/>
          <w:jc w:val="center"/>
        </w:trPr>
        <w:tc>
          <w:tcPr>
            <w:tcW w:w="9044" w:type="dxa"/>
            <w:gridSpan w:val="4"/>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outlineLvl w:val="9"/>
              <w:rPr>
                <w:rFonts w:hint="eastAsia" w:ascii="宋体" w:hAnsi="宋体" w:eastAsia="宋体" w:cs="宋体"/>
                <w:b/>
                <w:bCs/>
                <w:kern w:val="0"/>
                <w:sz w:val="36"/>
                <w:szCs w:val="36"/>
                <w:highlight w:val="none"/>
              </w:rPr>
            </w:pPr>
            <w:r>
              <w:rPr>
                <w:rFonts w:hint="eastAsia" w:ascii="宋体" w:hAnsi="宋体" w:eastAsia="宋体" w:cs="宋体"/>
                <w:b/>
                <w:bCs/>
                <w:sz w:val="36"/>
                <w:szCs w:val="36"/>
                <w:highlight w:val="none"/>
              </w:rPr>
              <w:t>20</w:t>
            </w:r>
            <w:r>
              <w:rPr>
                <w:rFonts w:hint="eastAsia" w:ascii="宋体" w:hAnsi="宋体" w:eastAsia="宋体" w:cs="宋体"/>
                <w:b/>
                <w:bCs/>
                <w:sz w:val="36"/>
                <w:szCs w:val="36"/>
                <w:highlight w:val="none"/>
                <w:lang w:val="en-US" w:eastAsia="zh-CN"/>
              </w:rPr>
              <w:t>21</w:t>
            </w:r>
            <w:r>
              <w:rPr>
                <w:rFonts w:hint="eastAsia" w:ascii="宋体" w:hAnsi="宋体" w:eastAsia="宋体" w:cs="宋体"/>
                <w:b/>
                <w:bCs/>
                <w:sz w:val="36"/>
                <w:szCs w:val="36"/>
                <w:highlight w:val="none"/>
              </w:rPr>
              <w:t>年</w:t>
            </w:r>
            <w:r>
              <w:rPr>
                <w:rFonts w:hint="eastAsia" w:ascii="宋体" w:hAnsi="宋体" w:eastAsia="宋体" w:cs="宋体"/>
                <w:b/>
                <w:bCs/>
                <w:sz w:val="36"/>
                <w:szCs w:val="36"/>
                <w:highlight w:val="none"/>
                <w:lang w:eastAsia="zh-CN"/>
              </w:rPr>
              <w:t>莆田市</w:t>
            </w:r>
            <w:r>
              <w:rPr>
                <w:rFonts w:hint="eastAsia" w:ascii="宋体" w:hAnsi="宋体" w:eastAsia="宋体" w:cs="宋体"/>
                <w:b/>
                <w:bCs/>
                <w:sz w:val="36"/>
                <w:szCs w:val="36"/>
                <w:highlight w:val="none"/>
              </w:rPr>
              <w:t>涵江区公开招聘新任教师岗位设置一览表</w:t>
            </w:r>
          </w:p>
        </w:tc>
      </w:tr>
      <w:tr>
        <w:tblPrEx>
          <w:tblCellMar>
            <w:top w:w="0" w:type="dxa"/>
            <w:left w:w="108" w:type="dxa"/>
            <w:bottom w:w="0" w:type="dxa"/>
            <w:right w:w="108" w:type="dxa"/>
          </w:tblCellMar>
        </w:tblPrEx>
        <w:trPr>
          <w:trHeight w:val="513"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学校类别</w:t>
            </w:r>
          </w:p>
        </w:tc>
        <w:tc>
          <w:tcPr>
            <w:tcW w:w="13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学科名称     </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招聘岗位</w:t>
            </w:r>
            <w:r>
              <w:rPr>
                <w:rFonts w:hint="eastAsia" w:ascii="宋体" w:hAnsi="宋体" w:eastAsia="宋体" w:cs="宋体"/>
                <w:kern w:val="0"/>
                <w:sz w:val="21"/>
                <w:szCs w:val="21"/>
                <w:highlight w:val="none"/>
                <w:lang w:val="en-US" w:eastAsia="zh-CN"/>
              </w:rPr>
              <w:t>)</w:t>
            </w:r>
          </w:p>
        </w:tc>
        <w:tc>
          <w:tcPr>
            <w:tcW w:w="6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招考人数</w:t>
            </w:r>
          </w:p>
        </w:tc>
        <w:tc>
          <w:tcPr>
            <w:tcW w:w="63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具体岗位</w:t>
            </w:r>
          </w:p>
        </w:tc>
      </w:tr>
      <w:tr>
        <w:tblPrEx>
          <w:tblCellMar>
            <w:top w:w="0" w:type="dxa"/>
            <w:left w:w="108" w:type="dxa"/>
            <w:bottom w:w="0" w:type="dxa"/>
            <w:right w:w="108" w:type="dxa"/>
          </w:tblCellMar>
        </w:tblPrEx>
        <w:trPr>
          <w:trHeight w:val="385" w:hRule="atLeast"/>
          <w:jc w:val="center"/>
        </w:trPr>
        <w:tc>
          <w:tcPr>
            <w:tcW w:w="6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105" w:firstLineChars="5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高</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105" w:firstLineChars="5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105" w:firstLineChars="50"/>
              <w:jc w:val="center"/>
              <w:textAlignment w:val="auto"/>
              <w:outlineLvl w:val="9"/>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41</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105" w:firstLineChars="5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spacing w:val="-6"/>
                <w:sz w:val="21"/>
                <w:szCs w:val="21"/>
                <w:highlight w:val="none"/>
                <w:lang w:eastAsia="zh-CN"/>
              </w:rPr>
              <w:t>语文</w:t>
            </w:r>
          </w:p>
        </w:tc>
        <w:tc>
          <w:tcPr>
            <w:tcW w:w="6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pacing w:val="-6"/>
                <w:sz w:val="21"/>
                <w:szCs w:val="21"/>
                <w:highlight w:val="none"/>
                <w:lang w:val="en-US" w:eastAsia="zh-CN"/>
              </w:rPr>
              <w:t>10</w:t>
            </w:r>
          </w:p>
        </w:tc>
        <w:tc>
          <w:tcPr>
            <w:tcW w:w="63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莆田侨中5人、锦江中学3人、莆田七中1人、莆田侨职1人。</w:t>
            </w:r>
          </w:p>
        </w:tc>
      </w:tr>
      <w:tr>
        <w:tblPrEx>
          <w:tblCellMar>
            <w:top w:w="0" w:type="dxa"/>
            <w:left w:w="108" w:type="dxa"/>
            <w:bottom w:w="0" w:type="dxa"/>
            <w:right w:w="108" w:type="dxa"/>
          </w:tblCellMar>
        </w:tblPrEx>
        <w:trPr>
          <w:trHeight w:val="385"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105" w:firstLineChars="50"/>
              <w:jc w:val="left"/>
              <w:textAlignment w:val="auto"/>
              <w:outlineLvl w:val="9"/>
              <w:rPr>
                <w:rFonts w:hint="eastAsia" w:ascii="宋体" w:hAnsi="宋体" w:eastAsia="宋体" w:cs="宋体"/>
                <w:kern w:val="0"/>
                <w:sz w:val="21"/>
                <w:szCs w:val="21"/>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数学</w:t>
            </w:r>
          </w:p>
        </w:tc>
        <w:tc>
          <w:tcPr>
            <w:tcW w:w="6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7</w:t>
            </w:r>
          </w:p>
        </w:tc>
        <w:tc>
          <w:tcPr>
            <w:tcW w:w="63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莆田侨中2人、锦江中学2人、莆田七中1人、莆田侨职2人。</w:t>
            </w:r>
          </w:p>
        </w:tc>
      </w:tr>
      <w:tr>
        <w:tblPrEx>
          <w:tblCellMar>
            <w:top w:w="0" w:type="dxa"/>
            <w:left w:w="108" w:type="dxa"/>
            <w:bottom w:w="0" w:type="dxa"/>
            <w:right w:w="108" w:type="dxa"/>
          </w:tblCellMar>
        </w:tblPrEx>
        <w:trPr>
          <w:trHeight w:val="385"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105" w:firstLineChars="50"/>
              <w:jc w:val="left"/>
              <w:textAlignment w:val="auto"/>
              <w:outlineLvl w:val="9"/>
              <w:rPr>
                <w:rFonts w:hint="eastAsia" w:ascii="宋体" w:hAnsi="宋体" w:eastAsia="宋体" w:cs="宋体"/>
                <w:kern w:val="0"/>
                <w:sz w:val="21"/>
                <w:szCs w:val="21"/>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英语</w:t>
            </w:r>
          </w:p>
        </w:tc>
        <w:tc>
          <w:tcPr>
            <w:tcW w:w="6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pacing w:val="-6"/>
                <w:sz w:val="21"/>
                <w:szCs w:val="21"/>
                <w:highlight w:val="none"/>
                <w:lang w:val="en-US" w:eastAsia="zh-CN"/>
              </w:rPr>
              <w:t>6</w:t>
            </w:r>
          </w:p>
        </w:tc>
        <w:tc>
          <w:tcPr>
            <w:tcW w:w="63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莆田侨中1人、莆田七中1人、莆田十四中3人、莆田侨职1人。</w:t>
            </w:r>
          </w:p>
        </w:tc>
      </w:tr>
      <w:tr>
        <w:tblPrEx>
          <w:tblCellMar>
            <w:top w:w="0" w:type="dxa"/>
            <w:left w:w="108" w:type="dxa"/>
            <w:bottom w:w="0" w:type="dxa"/>
            <w:right w:w="108" w:type="dxa"/>
          </w:tblCellMar>
        </w:tblPrEx>
        <w:trPr>
          <w:trHeight w:val="385"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105" w:firstLineChars="50"/>
              <w:jc w:val="left"/>
              <w:textAlignment w:val="auto"/>
              <w:outlineLvl w:val="9"/>
              <w:rPr>
                <w:rFonts w:hint="eastAsia" w:ascii="宋体" w:hAnsi="宋体" w:eastAsia="宋体" w:cs="宋体"/>
                <w:kern w:val="0"/>
                <w:sz w:val="21"/>
                <w:szCs w:val="21"/>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kern w:val="0"/>
                <w:sz w:val="21"/>
                <w:szCs w:val="21"/>
                <w:highlight w:val="none"/>
                <w:lang w:eastAsia="zh-CN"/>
              </w:rPr>
              <w:t>物理</w:t>
            </w:r>
          </w:p>
        </w:tc>
        <w:tc>
          <w:tcPr>
            <w:tcW w:w="6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63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莆田六中1人、莆田侨中1人、莆田七中1人。</w:t>
            </w:r>
          </w:p>
        </w:tc>
      </w:tr>
      <w:tr>
        <w:tblPrEx>
          <w:tblCellMar>
            <w:top w:w="0" w:type="dxa"/>
            <w:left w:w="108" w:type="dxa"/>
            <w:bottom w:w="0" w:type="dxa"/>
            <w:right w:w="108" w:type="dxa"/>
          </w:tblCellMar>
        </w:tblPrEx>
        <w:trPr>
          <w:trHeight w:val="385"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105" w:firstLineChars="50"/>
              <w:jc w:val="left"/>
              <w:textAlignment w:val="auto"/>
              <w:outlineLvl w:val="9"/>
              <w:rPr>
                <w:rFonts w:hint="eastAsia" w:ascii="宋体" w:hAnsi="宋体" w:eastAsia="宋体" w:cs="宋体"/>
                <w:kern w:val="0"/>
                <w:sz w:val="21"/>
                <w:szCs w:val="21"/>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kern w:val="0"/>
                <w:sz w:val="21"/>
                <w:szCs w:val="21"/>
                <w:highlight w:val="none"/>
                <w:lang w:eastAsia="zh-CN"/>
              </w:rPr>
              <w:t>思想政治</w:t>
            </w:r>
          </w:p>
        </w:tc>
        <w:tc>
          <w:tcPr>
            <w:tcW w:w="6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63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莆田侨中2人、莆田七中1人、莆田侨职2人。</w:t>
            </w:r>
          </w:p>
        </w:tc>
      </w:tr>
      <w:tr>
        <w:tblPrEx>
          <w:tblCellMar>
            <w:top w:w="0" w:type="dxa"/>
            <w:left w:w="108" w:type="dxa"/>
            <w:bottom w:w="0" w:type="dxa"/>
            <w:right w:w="108" w:type="dxa"/>
          </w:tblCellMar>
        </w:tblPrEx>
        <w:trPr>
          <w:trHeight w:val="385"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105" w:firstLineChars="50"/>
              <w:jc w:val="left"/>
              <w:textAlignment w:val="auto"/>
              <w:outlineLvl w:val="9"/>
              <w:rPr>
                <w:rFonts w:hint="eastAsia" w:ascii="宋体" w:hAnsi="宋体" w:eastAsia="宋体" w:cs="宋体"/>
                <w:kern w:val="0"/>
                <w:sz w:val="21"/>
                <w:szCs w:val="21"/>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历史</w:t>
            </w:r>
          </w:p>
        </w:tc>
        <w:tc>
          <w:tcPr>
            <w:tcW w:w="6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63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莆田侨中1人、锦江中学1人、莆田七中1人、莆田十四中1人。</w:t>
            </w:r>
          </w:p>
        </w:tc>
      </w:tr>
      <w:tr>
        <w:tblPrEx>
          <w:tblCellMar>
            <w:top w:w="0" w:type="dxa"/>
            <w:left w:w="108" w:type="dxa"/>
            <w:bottom w:w="0" w:type="dxa"/>
            <w:right w:w="108" w:type="dxa"/>
          </w:tblCellMar>
        </w:tblPrEx>
        <w:trPr>
          <w:trHeight w:val="385"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105" w:firstLineChars="50"/>
              <w:jc w:val="left"/>
              <w:textAlignment w:val="auto"/>
              <w:outlineLvl w:val="9"/>
              <w:rPr>
                <w:rFonts w:hint="eastAsia" w:ascii="宋体" w:hAnsi="宋体" w:eastAsia="宋体" w:cs="宋体"/>
                <w:kern w:val="0"/>
                <w:sz w:val="21"/>
                <w:szCs w:val="21"/>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kern w:val="0"/>
                <w:sz w:val="21"/>
                <w:szCs w:val="21"/>
                <w:highlight w:val="none"/>
                <w:lang w:eastAsia="zh-CN"/>
              </w:rPr>
              <w:t>地理</w:t>
            </w:r>
          </w:p>
        </w:tc>
        <w:tc>
          <w:tcPr>
            <w:tcW w:w="6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63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莆田六中3人、莆田侨中1人、莆田七中1人。</w:t>
            </w:r>
          </w:p>
        </w:tc>
      </w:tr>
      <w:tr>
        <w:tblPrEx>
          <w:tblCellMar>
            <w:top w:w="0" w:type="dxa"/>
            <w:left w:w="108" w:type="dxa"/>
            <w:bottom w:w="0" w:type="dxa"/>
            <w:right w:w="108" w:type="dxa"/>
          </w:tblCellMar>
        </w:tblPrEx>
        <w:trPr>
          <w:trHeight w:val="385"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105" w:firstLineChars="50"/>
              <w:jc w:val="left"/>
              <w:textAlignment w:val="auto"/>
              <w:outlineLvl w:val="9"/>
              <w:rPr>
                <w:rFonts w:hint="eastAsia" w:ascii="宋体" w:hAnsi="宋体" w:eastAsia="宋体" w:cs="宋体"/>
                <w:kern w:val="0"/>
                <w:sz w:val="21"/>
                <w:szCs w:val="21"/>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0"/>
                <w:sz w:val="21"/>
                <w:szCs w:val="21"/>
                <w:highlight w:val="none"/>
                <w:lang w:val="en-US"/>
              </w:rPr>
            </w:pPr>
            <w:r>
              <w:rPr>
                <w:rFonts w:hint="eastAsia" w:ascii="宋体" w:hAnsi="宋体" w:eastAsia="宋体" w:cs="宋体"/>
                <w:spacing w:val="-6"/>
                <w:sz w:val="21"/>
                <w:szCs w:val="21"/>
                <w:highlight w:val="none"/>
                <w:lang w:eastAsia="zh-CN"/>
              </w:rPr>
              <w:t>体育</w:t>
            </w:r>
          </w:p>
        </w:tc>
        <w:tc>
          <w:tcPr>
            <w:tcW w:w="6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pacing w:val="-6"/>
                <w:sz w:val="21"/>
                <w:szCs w:val="21"/>
                <w:highlight w:val="none"/>
                <w:lang w:val="en-US" w:eastAsia="zh-CN"/>
              </w:rPr>
              <w:t>1</w:t>
            </w:r>
          </w:p>
        </w:tc>
        <w:tc>
          <w:tcPr>
            <w:tcW w:w="63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莆田七中1人。</w:t>
            </w:r>
          </w:p>
        </w:tc>
      </w:tr>
      <w:tr>
        <w:tblPrEx>
          <w:tblCellMar>
            <w:top w:w="0" w:type="dxa"/>
            <w:left w:w="108" w:type="dxa"/>
            <w:bottom w:w="0" w:type="dxa"/>
            <w:right w:w="108" w:type="dxa"/>
          </w:tblCellMar>
        </w:tblPrEx>
        <w:trPr>
          <w:trHeight w:val="385" w:hRule="atLeast"/>
          <w:jc w:val="center"/>
        </w:trPr>
        <w:tc>
          <w:tcPr>
            <w:tcW w:w="6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初</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中</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27</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人</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spacing w:val="-6"/>
                <w:sz w:val="21"/>
                <w:szCs w:val="21"/>
                <w:highlight w:val="none"/>
                <w:lang w:eastAsia="zh-CN"/>
              </w:rPr>
              <w:t>语文</w:t>
            </w:r>
          </w:p>
        </w:tc>
        <w:tc>
          <w:tcPr>
            <w:tcW w:w="6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pacing w:val="-6"/>
                <w:sz w:val="21"/>
                <w:szCs w:val="21"/>
                <w:highlight w:val="none"/>
                <w:lang w:val="en-US" w:eastAsia="zh-CN"/>
              </w:rPr>
              <w:t>5</w:t>
            </w:r>
          </w:p>
        </w:tc>
        <w:tc>
          <w:tcPr>
            <w:tcW w:w="63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青璜中学</w:t>
            </w:r>
            <w:r>
              <w:rPr>
                <w:rFonts w:hint="eastAsia" w:ascii="宋体" w:hAnsi="宋体" w:eastAsia="宋体" w:cs="宋体"/>
                <w:sz w:val="21"/>
                <w:szCs w:val="21"/>
                <w:highlight w:val="none"/>
                <w:lang w:val="en-US" w:eastAsia="zh-CN"/>
              </w:rPr>
              <w:t>1人、莆田十七中2人、国欢中学2人。</w:t>
            </w:r>
          </w:p>
        </w:tc>
      </w:tr>
      <w:tr>
        <w:tblPrEx>
          <w:tblCellMar>
            <w:top w:w="0" w:type="dxa"/>
            <w:left w:w="108" w:type="dxa"/>
            <w:bottom w:w="0" w:type="dxa"/>
            <w:right w:w="108" w:type="dxa"/>
          </w:tblCellMar>
        </w:tblPrEx>
        <w:trPr>
          <w:trHeight w:val="385" w:hRule="atLeast"/>
          <w:jc w:val="center"/>
        </w:trPr>
        <w:tc>
          <w:tcPr>
            <w:tcW w:w="683"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lang w:eastAsia="zh-CN"/>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数学</w:t>
            </w:r>
          </w:p>
        </w:tc>
        <w:tc>
          <w:tcPr>
            <w:tcW w:w="6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6</w:t>
            </w:r>
          </w:p>
        </w:tc>
        <w:tc>
          <w:tcPr>
            <w:tcW w:w="63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青璜中学</w:t>
            </w:r>
            <w:r>
              <w:rPr>
                <w:rFonts w:hint="eastAsia" w:ascii="宋体" w:hAnsi="宋体" w:eastAsia="宋体" w:cs="宋体"/>
                <w:sz w:val="21"/>
                <w:szCs w:val="21"/>
                <w:highlight w:val="none"/>
                <w:lang w:val="en-US" w:eastAsia="zh-CN"/>
              </w:rPr>
              <w:t>4人、莆田十七中1人、国欢中学1人。</w:t>
            </w:r>
          </w:p>
        </w:tc>
      </w:tr>
      <w:tr>
        <w:tblPrEx>
          <w:tblCellMar>
            <w:top w:w="0" w:type="dxa"/>
            <w:left w:w="108" w:type="dxa"/>
            <w:bottom w:w="0" w:type="dxa"/>
            <w:right w:w="108" w:type="dxa"/>
          </w:tblCellMar>
        </w:tblPrEx>
        <w:trPr>
          <w:trHeight w:val="385" w:hRule="atLeast"/>
          <w:jc w:val="center"/>
        </w:trPr>
        <w:tc>
          <w:tcPr>
            <w:tcW w:w="6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lang w:val="en-US" w:eastAsia="zh-CN"/>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英语</w:t>
            </w:r>
          </w:p>
        </w:tc>
        <w:tc>
          <w:tcPr>
            <w:tcW w:w="6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6</w:t>
            </w:r>
          </w:p>
        </w:tc>
        <w:tc>
          <w:tcPr>
            <w:tcW w:w="63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青璜中学</w:t>
            </w:r>
            <w:r>
              <w:rPr>
                <w:rFonts w:hint="eastAsia" w:ascii="宋体" w:hAnsi="宋体" w:eastAsia="宋体" w:cs="宋体"/>
                <w:sz w:val="21"/>
                <w:szCs w:val="21"/>
                <w:highlight w:val="none"/>
                <w:lang w:val="en-US" w:eastAsia="zh-CN"/>
              </w:rPr>
              <w:t>3人、莆田十七中1人、国欢中学2人。</w:t>
            </w:r>
          </w:p>
        </w:tc>
      </w:tr>
      <w:tr>
        <w:tblPrEx>
          <w:tblCellMar>
            <w:top w:w="0" w:type="dxa"/>
            <w:left w:w="108" w:type="dxa"/>
            <w:bottom w:w="0" w:type="dxa"/>
            <w:right w:w="108" w:type="dxa"/>
          </w:tblCellMar>
        </w:tblPrEx>
        <w:trPr>
          <w:trHeight w:val="385" w:hRule="atLeast"/>
          <w:jc w:val="center"/>
        </w:trPr>
        <w:tc>
          <w:tcPr>
            <w:tcW w:w="6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lang w:val="en-US" w:eastAsia="zh-CN"/>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kern w:val="0"/>
                <w:sz w:val="21"/>
                <w:szCs w:val="21"/>
                <w:highlight w:val="none"/>
                <w:lang w:eastAsia="zh-CN"/>
              </w:rPr>
              <w:t>物理</w:t>
            </w:r>
          </w:p>
        </w:tc>
        <w:tc>
          <w:tcPr>
            <w:tcW w:w="6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4</w:t>
            </w:r>
          </w:p>
        </w:tc>
        <w:tc>
          <w:tcPr>
            <w:tcW w:w="63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莆田十七中2人、国欢中学1人、石庭侨校1人。</w:t>
            </w:r>
          </w:p>
        </w:tc>
      </w:tr>
      <w:tr>
        <w:tblPrEx>
          <w:tblCellMar>
            <w:top w:w="0" w:type="dxa"/>
            <w:left w:w="108" w:type="dxa"/>
            <w:bottom w:w="0" w:type="dxa"/>
            <w:right w:w="108" w:type="dxa"/>
          </w:tblCellMar>
        </w:tblPrEx>
        <w:trPr>
          <w:trHeight w:val="385" w:hRule="atLeast"/>
          <w:jc w:val="center"/>
        </w:trPr>
        <w:tc>
          <w:tcPr>
            <w:tcW w:w="6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lang w:eastAsia="zh-CN"/>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spacing w:val="-6"/>
                <w:sz w:val="21"/>
                <w:szCs w:val="21"/>
                <w:highlight w:val="none"/>
                <w:lang w:eastAsia="zh-CN"/>
              </w:rPr>
              <w:t>道德与法治</w:t>
            </w:r>
          </w:p>
        </w:tc>
        <w:tc>
          <w:tcPr>
            <w:tcW w:w="6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kern w:val="0"/>
                <w:sz w:val="21"/>
                <w:szCs w:val="21"/>
                <w:highlight w:val="none"/>
                <w:lang w:val="en-US" w:eastAsia="zh-CN"/>
              </w:rPr>
            </w:pPr>
            <w:r>
              <w:rPr>
                <w:rFonts w:hint="eastAsia" w:ascii="宋体" w:hAnsi="宋体" w:eastAsia="宋体" w:cs="宋体"/>
                <w:spacing w:val="-6"/>
                <w:sz w:val="21"/>
                <w:szCs w:val="21"/>
                <w:highlight w:val="none"/>
                <w:lang w:val="en-US" w:eastAsia="zh-CN"/>
              </w:rPr>
              <w:t>1</w:t>
            </w:r>
          </w:p>
        </w:tc>
        <w:tc>
          <w:tcPr>
            <w:tcW w:w="63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青璜中学</w:t>
            </w:r>
            <w:r>
              <w:rPr>
                <w:rFonts w:hint="eastAsia" w:ascii="宋体" w:hAnsi="宋体" w:eastAsia="宋体" w:cs="宋体"/>
                <w:sz w:val="21"/>
                <w:szCs w:val="21"/>
                <w:highlight w:val="none"/>
                <w:lang w:val="en-US" w:eastAsia="zh-CN"/>
              </w:rPr>
              <w:t>1人。</w:t>
            </w:r>
          </w:p>
        </w:tc>
      </w:tr>
      <w:tr>
        <w:tblPrEx>
          <w:tblCellMar>
            <w:top w:w="0" w:type="dxa"/>
            <w:left w:w="108" w:type="dxa"/>
            <w:bottom w:w="0" w:type="dxa"/>
            <w:right w:w="108" w:type="dxa"/>
          </w:tblCellMar>
        </w:tblPrEx>
        <w:trPr>
          <w:trHeight w:val="385" w:hRule="atLeast"/>
          <w:jc w:val="center"/>
        </w:trPr>
        <w:tc>
          <w:tcPr>
            <w:tcW w:w="68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kern w:val="0"/>
                <w:sz w:val="21"/>
                <w:szCs w:val="21"/>
                <w:highlight w:val="none"/>
                <w:lang w:eastAsia="zh-CN"/>
              </w:rPr>
              <w:t>历史</w:t>
            </w:r>
          </w:p>
        </w:tc>
        <w:tc>
          <w:tcPr>
            <w:tcW w:w="6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kern w:val="0"/>
                <w:sz w:val="21"/>
                <w:szCs w:val="21"/>
                <w:highlight w:val="none"/>
                <w:lang w:val="en-US" w:eastAsia="zh-CN"/>
              </w:rPr>
            </w:pPr>
            <w:r>
              <w:rPr>
                <w:rFonts w:hint="eastAsia" w:ascii="宋体" w:hAnsi="宋体" w:eastAsia="宋体" w:cs="宋体"/>
                <w:spacing w:val="-6"/>
                <w:sz w:val="21"/>
                <w:szCs w:val="21"/>
                <w:highlight w:val="none"/>
                <w:lang w:val="en-US" w:eastAsia="zh-CN"/>
              </w:rPr>
              <w:t>3</w:t>
            </w:r>
          </w:p>
        </w:tc>
        <w:tc>
          <w:tcPr>
            <w:tcW w:w="63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莆田十七中2人、国欢中学1人。</w:t>
            </w:r>
          </w:p>
        </w:tc>
      </w:tr>
      <w:tr>
        <w:tblPrEx>
          <w:tblCellMar>
            <w:top w:w="0" w:type="dxa"/>
            <w:left w:w="108" w:type="dxa"/>
            <w:bottom w:w="0" w:type="dxa"/>
            <w:right w:w="108" w:type="dxa"/>
          </w:tblCellMar>
        </w:tblPrEx>
        <w:trPr>
          <w:trHeight w:val="385" w:hRule="atLeast"/>
          <w:jc w:val="center"/>
        </w:trPr>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地理</w:t>
            </w:r>
          </w:p>
        </w:tc>
        <w:tc>
          <w:tcPr>
            <w:tcW w:w="6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kern w:val="0"/>
                <w:sz w:val="21"/>
                <w:szCs w:val="21"/>
                <w:highlight w:val="none"/>
                <w:lang w:val="en-US" w:eastAsia="zh-CN"/>
              </w:rPr>
            </w:pPr>
            <w:r>
              <w:rPr>
                <w:rFonts w:hint="eastAsia" w:ascii="宋体" w:hAnsi="宋体" w:eastAsia="宋体" w:cs="宋体"/>
                <w:spacing w:val="-6"/>
                <w:sz w:val="21"/>
                <w:szCs w:val="21"/>
                <w:highlight w:val="none"/>
                <w:lang w:val="en-US" w:eastAsia="zh-CN"/>
              </w:rPr>
              <w:t>2</w:t>
            </w:r>
          </w:p>
        </w:tc>
        <w:tc>
          <w:tcPr>
            <w:tcW w:w="63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青璜中学</w:t>
            </w:r>
            <w:r>
              <w:rPr>
                <w:rFonts w:hint="eastAsia" w:ascii="宋体" w:hAnsi="宋体" w:eastAsia="宋体" w:cs="宋体"/>
                <w:sz w:val="21"/>
                <w:szCs w:val="21"/>
                <w:highlight w:val="none"/>
                <w:lang w:val="en-US" w:eastAsia="zh-CN"/>
              </w:rPr>
              <w:t>1人、国欢中学1人。</w:t>
            </w:r>
          </w:p>
        </w:tc>
      </w:tr>
      <w:tr>
        <w:tblPrEx>
          <w:tblCellMar>
            <w:top w:w="0" w:type="dxa"/>
            <w:left w:w="108" w:type="dxa"/>
            <w:bottom w:w="0" w:type="dxa"/>
            <w:right w:w="108" w:type="dxa"/>
          </w:tblCellMar>
        </w:tblPrEx>
        <w:trPr>
          <w:trHeight w:val="845" w:hRule="atLeast"/>
          <w:jc w:val="center"/>
        </w:trPr>
        <w:tc>
          <w:tcPr>
            <w:tcW w:w="68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小</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学</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88</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spacing w:val="-6"/>
                <w:sz w:val="21"/>
                <w:szCs w:val="21"/>
                <w:highlight w:val="none"/>
                <w:lang w:eastAsia="zh-CN"/>
              </w:rPr>
              <w:t>语文</w:t>
            </w:r>
          </w:p>
        </w:tc>
        <w:tc>
          <w:tcPr>
            <w:tcW w:w="6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37</w:t>
            </w:r>
          </w:p>
        </w:tc>
        <w:tc>
          <w:tcPr>
            <w:tcW w:w="63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实验小学</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人、第二实验小学</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人、第</w:t>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实验小学</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人</w:t>
            </w:r>
            <w:r>
              <w:rPr>
                <w:rFonts w:hint="eastAsia" w:ascii="宋体" w:hAnsi="宋体" w:eastAsia="宋体" w:cs="宋体"/>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白塘中心小学2人、国欢中心小学3人、塘头学校(小学)4人、</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江口中心小学</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人、石庭中心小学</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人、</w:t>
            </w:r>
            <w:r>
              <w:rPr>
                <w:rFonts w:hint="eastAsia" w:ascii="宋体" w:hAnsi="宋体" w:eastAsia="宋体" w:cs="宋体"/>
                <w:sz w:val="21"/>
                <w:szCs w:val="21"/>
                <w:highlight w:val="none"/>
                <w:lang w:eastAsia="zh-CN"/>
              </w:rPr>
              <w:t>梧塘</w:t>
            </w:r>
            <w:r>
              <w:rPr>
                <w:rFonts w:hint="eastAsia" w:ascii="宋体" w:hAnsi="宋体" w:eastAsia="宋体" w:cs="宋体"/>
                <w:sz w:val="21"/>
                <w:szCs w:val="21"/>
                <w:highlight w:val="none"/>
              </w:rPr>
              <w:t>中心小学</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人。</w:t>
            </w:r>
          </w:p>
        </w:tc>
      </w:tr>
      <w:tr>
        <w:tblPrEx>
          <w:tblCellMar>
            <w:top w:w="0" w:type="dxa"/>
            <w:left w:w="108" w:type="dxa"/>
            <w:bottom w:w="0" w:type="dxa"/>
            <w:right w:w="108" w:type="dxa"/>
          </w:tblCellMar>
        </w:tblPrEx>
        <w:trPr>
          <w:trHeight w:val="845" w:hRule="atLeast"/>
          <w:jc w:val="center"/>
        </w:trPr>
        <w:tc>
          <w:tcPr>
            <w:tcW w:w="68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宋体" w:hAnsi="宋体" w:eastAsia="宋体" w:cs="宋体"/>
                <w:kern w:val="0"/>
                <w:sz w:val="21"/>
                <w:szCs w:val="21"/>
                <w:highlight w:val="none"/>
              </w:rPr>
            </w:pPr>
          </w:p>
        </w:tc>
        <w:tc>
          <w:tcPr>
            <w:tcW w:w="13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0"/>
                <w:sz w:val="21"/>
                <w:szCs w:val="21"/>
                <w:highlight w:val="none"/>
                <w:lang w:eastAsia="zh-CN"/>
              </w:rPr>
            </w:pPr>
            <w:r>
              <w:rPr>
                <w:rFonts w:hint="eastAsia" w:ascii="宋体" w:hAnsi="宋体" w:eastAsia="宋体" w:cs="宋体"/>
                <w:spacing w:val="-6"/>
                <w:sz w:val="21"/>
                <w:szCs w:val="21"/>
                <w:highlight w:val="none"/>
                <w:lang w:eastAsia="zh-CN"/>
              </w:rPr>
              <w:t>数学</w:t>
            </w:r>
          </w:p>
        </w:tc>
        <w:tc>
          <w:tcPr>
            <w:tcW w:w="6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32</w:t>
            </w:r>
          </w:p>
        </w:tc>
        <w:tc>
          <w:tcPr>
            <w:tcW w:w="63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实验小学</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人、第二实验小学</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人、第</w:t>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实验小学</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人</w:t>
            </w:r>
            <w:r>
              <w:rPr>
                <w:rFonts w:hint="eastAsia" w:ascii="宋体" w:hAnsi="宋体" w:eastAsia="宋体" w:cs="宋体"/>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白塘中心小学2人、国欢中心小学2人、塘头学校(小学)4人、</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江口中心小学</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人、石庭中心小学</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人、</w:t>
            </w:r>
            <w:r>
              <w:rPr>
                <w:rFonts w:hint="eastAsia" w:ascii="宋体" w:hAnsi="宋体" w:eastAsia="宋体" w:cs="宋体"/>
                <w:sz w:val="21"/>
                <w:szCs w:val="21"/>
                <w:highlight w:val="none"/>
                <w:lang w:eastAsia="zh-CN"/>
              </w:rPr>
              <w:t>梧塘</w:t>
            </w:r>
            <w:r>
              <w:rPr>
                <w:rFonts w:hint="eastAsia" w:ascii="宋体" w:hAnsi="宋体" w:eastAsia="宋体" w:cs="宋体"/>
                <w:sz w:val="21"/>
                <w:szCs w:val="21"/>
                <w:highlight w:val="none"/>
              </w:rPr>
              <w:t>中心小学</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人。</w:t>
            </w:r>
          </w:p>
        </w:tc>
      </w:tr>
      <w:tr>
        <w:tblPrEx>
          <w:tblCellMar>
            <w:top w:w="0" w:type="dxa"/>
            <w:left w:w="108" w:type="dxa"/>
            <w:bottom w:w="0" w:type="dxa"/>
            <w:right w:w="108" w:type="dxa"/>
          </w:tblCellMar>
        </w:tblPrEx>
        <w:trPr>
          <w:trHeight w:val="560" w:hRule="atLeast"/>
          <w:jc w:val="center"/>
        </w:trPr>
        <w:tc>
          <w:tcPr>
            <w:tcW w:w="68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rPr>
            </w:pPr>
          </w:p>
        </w:tc>
        <w:tc>
          <w:tcPr>
            <w:tcW w:w="13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0"/>
                <w:sz w:val="21"/>
                <w:szCs w:val="21"/>
                <w:highlight w:val="none"/>
                <w:lang w:eastAsia="zh-CN"/>
              </w:rPr>
            </w:pPr>
            <w:r>
              <w:rPr>
                <w:rFonts w:hint="eastAsia" w:ascii="宋体" w:hAnsi="宋体" w:eastAsia="宋体" w:cs="宋体"/>
                <w:spacing w:val="-6"/>
                <w:sz w:val="21"/>
                <w:szCs w:val="21"/>
                <w:highlight w:val="none"/>
                <w:lang w:eastAsia="zh-CN"/>
              </w:rPr>
              <w:t>英语</w:t>
            </w:r>
          </w:p>
        </w:tc>
        <w:tc>
          <w:tcPr>
            <w:tcW w:w="6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63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国欢中心小学1人、</w:t>
            </w:r>
            <w:r>
              <w:rPr>
                <w:rFonts w:hint="eastAsia" w:ascii="宋体" w:hAnsi="宋体" w:eastAsia="宋体" w:cs="宋体"/>
                <w:sz w:val="21"/>
                <w:szCs w:val="21"/>
                <w:highlight w:val="none"/>
                <w:lang w:eastAsia="zh-CN"/>
              </w:rPr>
              <w:t>江口</w:t>
            </w:r>
            <w:r>
              <w:rPr>
                <w:rFonts w:hint="eastAsia" w:ascii="宋体" w:hAnsi="宋体" w:eastAsia="宋体" w:cs="宋体"/>
                <w:sz w:val="21"/>
                <w:szCs w:val="21"/>
                <w:highlight w:val="none"/>
              </w:rPr>
              <w:t>中心小学</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人、石庭中心小学</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人、</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梧塘</w:t>
            </w:r>
            <w:r>
              <w:rPr>
                <w:rFonts w:hint="eastAsia" w:ascii="宋体" w:hAnsi="宋体" w:eastAsia="宋体" w:cs="宋体"/>
                <w:sz w:val="21"/>
                <w:szCs w:val="21"/>
                <w:highlight w:val="none"/>
              </w:rPr>
              <w:t>中心小学1人。</w:t>
            </w:r>
          </w:p>
        </w:tc>
      </w:tr>
      <w:tr>
        <w:tblPrEx>
          <w:tblCellMar>
            <w:top w:w="0" w:type="dxa"/>
            <w:left w:w="108" w:type="dxa"/>
            <w:bottom w:w="0" w:type="dxa"/>
            <w:right w:w="108" w:type="dxa"/>
          </w:tblCellMar>
        </w:tblPrEx>
        <w:trPr>
          <w:trHeight w:val="414" w:hRule="atLeast"/>
          <w:jc w:val="center"/>
        </w:trPr>
        <w:tc>
          <w:tcPr>
            <w:tcW w:w="68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rPr>
            </w:pPr>
          </w:p>
        </w:tc>
        <w:tc>
          <w:tcPr>
            <w:tcW w:w="13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音乐</w:t>
            </w:r>
          </w:p>
        </w:tc>
        <w:tc>
          <w:tcPr>
            <w:tcW w:w="6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spacing w:val="-6"/>
                <w:sz w:val="21"/>
                <w:szCs w:val="21"/>
                <w:highlight w:val="none"/>
                <w:lang w:val="en-US" w:eastAsia="zh-CN"/>
              </w:rPr>
            </w:pPr>
            <w:r>
              <w:rPr>
                <w:rFonts w:hint="eastAsia" w:ascii="宋体" w:hAnsi="宋体" w:eastAsia="宋体" w:cs="宋体"/>
                <w:sz w:val="21"/>
                <w:szCs w:val="21"/>
                <w:highlight w:val="none"/>
                <w:lang w:val="en-US" w:eastAsia="zh-CN"/>
              </w:rPr>
              <w:t>3</w:t>
            </w:r>
          </w:p>
        </w:tc>
        <w:tc>
          <w:tcPr>
            <w:tcW w:w="63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实验小学</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人、第二实验小学</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人、第</w:t>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实验小学</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人。</w:t>
            </w:r>
          </w:p>
        </w:tc>
      </w:tr>
      <w:tr>
        <w:tblPrEx>
          <w:tblCellMar>
            <w:top w:w="0" w:type="dxa"/>
            <w:left w:w="108" w:type="dxa"/>
            <w:bottom w:w="0" w:type="dxa"/>
            <w:right w:w="108" w:type="dxa"/>
          </w:tblCellMar>
        </w:tblPrEx>
        <w:trPr>
          <w:trHeight w:val="414" w:hRule="atLeast"/>
          <w:jc w:val="center"/>
        </w:trPr>
        <w:tc>
          <w:tcPr>
            <w:tcW w:w="68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rPr>
            </w:pPr>
          </w:p>
        </w:tc>
        <w:tc>
          <w:tcPr>
            <w:tcW w:w="13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0"/>
                <w:sz w:val="21"/>
                <w:szCs w:val="21"/>
                <w:highlight w:val="none"/>
                <w:lang w:eastAsia="zh-CN"/>
              </w:rPr>
            </w:pPr>
            <w:r>
              <w:rPr>
                <w:rFonts w:hint="eastAsia" w:ascii="宋体" w:hAnsi="宋体" w:eastAsia="宋体" w:cs="宋体"/>
                <w:spacing w:val="-6"/>
                <w:sz w:val="21"/>
                <w:szCs w:val="21"/>
                <w:highlight w:val="none"/>
                <w:lang w:eastAsia="zh-CN"/>
              </w:rPr>
              <w:t>美术</w:t>
            </w:r>
          </w:p>
        </w:tc>
        <w:tc>
          <w:tcPr>
            <w:tcW w:w="6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pacing w:val="-6"/>
                <w:sz w:val="21"/>
                <w:szCs w:val="21"/>
                <w:highlight w:val="none"/>
                <w:lang w:val="en-US" w:eastAsia="zh-CN"/>
              </w:rPr>
              <w:t>3</w:t>
            </w:r>
          </w:p>
        </w:tc>
        <w:tc>
          <w:tcPr>
            <w:tcW w:w="63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实验小学</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人、</w:t>
            </w:r>
            <w:r>
              <w:rPr>
                <w:rFonts w:hint="eastAsia" w:ascii="宋体" w:hAnsi="宋体" w:eastAsia="宋体" w:cs="宋体"/>
                <w:sz w:val="21"/>
                <w:szCs w:val="21"/>
                <w:highlight w:val="none"/>
                <w:lang w:val="en-US" w:eastAsia="zh-CN"/>
              </w:rPr>
              <w:t>国欢中心小学1人、</w:t>
            </w:r>
            <w:r>
              <w:rPr>
                <w:rFonts w:hint="eastAsia" w:ascii="宋体" w:hAnsi="宋体" w:eastAsia="宋体" w:cs="宋体"/>
                <w:sz w:val="21"/>
                <w:szCs w:val="21"/>
                <w:highlight w:val="none"/>
                <w:lang w:eastAsia="zh-CN"/>
              </w:rPr>
              <w:t>梧塘</w:t>
            </w:r>
            <w:r>
              <w:rPr>
                <w:rFonts w:hint="eastAsia" w:ascii="宋体" w:hAnsi="宋体" w:eastAsia="宋体" w:cs="宋体"/>
                <w:sz w:val="21"/>
                <w:szCs w:val="21"/>
                <w:highlight w:val="none"/>
              </w:rPr>
              <w:t>中心小学</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人</w:t>
            </w:r>
            <w:r>
              <w:rPr>
                <w:rFonts w:hint="eastAsia" w:ascii="宋体" w:hAnsi="宋体" w:eastAsia="宋体" w:cs="宋体"/>
                <w:sz w:val="21"/>
                <w:szCs w:val="21"/>
                <w:highlight w:val="none"/>
                <w:lang w:eastAsia="zh-CN"/>
              </w:rPr>
              <w:t>。</w:t>
            </w:r>
          </w:p>
        </w:tc>
      </w:tr>
      <w:tr>
        <w:tblPrEx>
          <w:tblCellMar>
            <w:top w:w="0" w:type="dxa"/>
            <w:left w:w="108" w:type="dxa"/>
            <w:bottom w:w="0" w:type="dxa"/>
            <w:right w:w="108" w:type="dxa"/>
          </w:tblCellMar>
        </w:tblPrEx>
        <w:trPr>
          <w:trHeight w:val="414" w:hRule="atLeast"/>
          <w:jc w:val="center"/>
        </w:trPr>
        <w:tc>
          <w:tcPr>
            <w:tcW w:w="68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rPr>
            </w:pPr>
          </w:p>
        </w:tc>
        <w:tc>
          <w:tcPr>
            <w:tcW w:w="13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体育</w:t>
            </w:r>
          </w:p>
        </w:tc>
        <w:tc>
          <w:tcPr>
            <w:tcW w:w="6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63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实验小学</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人、第二实验小学</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人、第</w:t>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实验小学</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人。</w:t>
            </w:r>
          </w:p>
        </w:tc>
      </w:tr>
      <w:tr>
        <w:tblPrEx>
          <w:tblCellMar>
            <w:top w:w="0" w:type="dxa"/>
            <w:left w:w="108" w:type="dxa"/>
            <w:bottom w:w="0" w:type="dxa"/>
            <w:right w:w="108" w:type="dxa"/>
          </w:tblCellMar>
        </w:tblPrEx>
        <w:trPr>
          <w:trHeight w:val="414" w:hRule="atLeast"/>
          <w:jc w:val="center"/>
        </w:trPr>
        <w:tc>
          <w:tcPr>
            <w:tcW w:w="68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rPr>
            </w:pPr>
          </w:p>
        </w:tc>
        <w:tc>
          <w:tcPr>
            <w:tcW w:w="13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kern w:val="0"/>
                <w:sz w:val="21"/>
                <w:szCs w:val="21"/>
                <w:highlight w:val="none"/>
                <w:lang w:eastAsia="zh-CN"/>
              </w:rPr>
            </w:pPr>
            <w:r>
              <w:rPr>
                <w:rFonts w:hint="eastAsia" w:ascii="宋体" w:hAnsi="宋体" w:eastAsia="宋体" w:cs="宋体"/>
                <w:spacing w:val="-6"/>
                <w:sz w:val="21"/>
                <w:szCs w:val="21"/>
                <w:highlight w:val="none"/>
                <w:lang w:eastAsia="zh-CN"/>
              </w:rPr>
              <w:t>信息技术</w:t>
            </w:r>
          </w:p>
        </w:tc>
        <w:tc>
          <w:tcPr>
            <w:tcW w:w="6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63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实验小学</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人、</w:t>
            </w:r>
            <w:r>
              <w:rPr>
                <w:rFonts w:hint="eastAsia" w:ascii="宋体" w:hAnsi="宋体" w:eastAsia="宋体" w:cs="宋体"/>
                <w:sz w:val="21"/>
                <w:szCs w:val="21"/>
                <w:highlight w:val="none"/>
                <w:lang w:val="en-US" w:eastAsia="zh-CN"/>
              </w:rPr>
              <w:t>国欢中心小学1人、</w:t>
            </w:r>
            <w:r>
              <w:rPr>
                <w:rFonts w:hint="eastAsia" w:ascii="宋体" w:hAnsi="宋体" w:eastAsia="宋体" w:cs="宋体"/>
                <w:sz w:val="21"/>
                <w:szCs w:val="21"/>
                <w:highlight w:val="none"/>
                <w:lang w:eastAsia="zh-CN"/>
              </w:rPr>
              <w:t>梧塘</w:t>
            </w:r>
            <w:r>
              <w:rPr>
                <w:rFonts w:hint="eastAsia" w:ascii="宋体" w:hAnsi="宋体" w:eastAsia="宋体" w:cs="宋体"/>
                <w:sz w:val="21"/>
                <w:szCs w:val="21"/>
                <w:highlight w:val="none"/>
              </w:rPr>
              <w:t>中心小学</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人</w:t>
            </w:r>
            <w:r>
              <w:rPr>
                <w:rFonts w:hint="eastAsia" w:ascii="宋体" w:hAnsi="宋体" w:eastAsia="宋体" w:cs="宋体"/>
                <w:sz w:val="21"/>
                <w:szCs w:val="21"/>
                <w:highlight w:val="none"/>
                <w:lang w:eastAsia="zh-CN"/>
              </w:rPr>
              <w:t>。</w:t>
            </w:r>
          </w:p>
        </w:tc>
      </w:tr>
      <w:tr>
        <w:tblPrEx>
          <w:tblCellMar>
            <w:top w:w="0" w:type="dxa"/>
            <w:left w:w="108" w:type="dxa"/>
            <w:bottom w:w="0" w:type="dxa"/>
            <w:right w:w="108" w:type="dxa"/>
          </w:tblCellMar>
        </w:tblPrEx>
        <w:trPr>
          <w:trHeight w:val="414" w:hRule="atLeast"/>
          <w:jc w:val="center"/>
        </w:trPr>
        <w:tc>
          <w:tcPr>
            <w:tcW w:w="68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kern w:val="0"/>
                <w:sz w:val="21"/>
                <w:szCs w:val="21"/>
                <w:highlight w:val="none"/>
              </w:rPr>
            </w:pPr>
          </w:p>
        </w:tc>
        <w:tc>
          <w:tcPr>
            <w:tcW w:w="13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eastAsia="zh-CN"/>
              </w:rPr>
              <w:t>心理健康</w:t>
            </w:r>
          </w:p>
        </w:tc>
        <w:tc>
          <w:tcPr>
            <w:tcW w:w="6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63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实验小学</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人、第</w:t>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实验小学</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人。</w:t>
            </w:r>
          </w:p>
        </w:tc>
      </w:tr>
      <w:tr>
        <w:tblPrEx>
          <w:tblCellMar>
            <w:top w:w="0" w:type="dxa"/>
            <w:left w:w="108" w:type="dxa"/>
            <w:bottom w:w="0" w:type="dxa"/>
            <w:right w:w="108" w:type="dxa"/>
          </w:tblCellMar>
        </w:tblPrEx>
        <w:trPr>
          <w:trHeight w:val="87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幼儿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园</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12</w:t>
            </w:r>
            <w:r>
              <w:rPr>
                <w:rFonts w:hint="eastAsia" w:ascii="宋体" w:hAnsi="宋体" w:eastAsia="宋体" w:cs="宋体"/>
                <w:kern w:val="0"/>
                <w:sz w:val="21"/>
                <w:szCs w:val="21"/>
                <w:highlight w:val="none"/>
              </w:rPr>
              <w:t>人</w:t>
            </w:r>
          </w:p>
        </w:tc>
        <w:tc>
          <w:tcPr>
            <w:tcW w:w="13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幼儿教育</w:t>
            </w:r>
          </w:p>
        </w:tc>
        <w:tc>
          <w:tcPr>
            <w:tcW w:w="6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w:t>
            </w:r>
          </w:p>
        </w:tc>
        <w:tc>
          <w:tcPr>
            <w:tcW w:w="63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实验幼儿园</w:t>
            </w:r>
            <w:r>
              <w:rPr>
                <w:rFonts w:hint="eastAsia" w:ascii="宋体" w:hAnsi="宋体" w:eastAsia="宋体" w:cs="宋体"/>
                <w:sz w:val="21"/>
                <w:szCs w:val="21"/>
                <w:highlight w:val="none"/>
                <w:lang w:val="en-US" w:eastAsia="zh-CN"/>
              </w:rPr>
              <w:t>6人、</w:t>
            </w:r>
            <w:r>
              <w:rPr>
                <w:rFonts w:hint="eastAsia" w:ascii="宋体" w:hAnsi="宋体" w:eastAsia="宋体" w:cs="宋体"/>
                <w:sz w:val="21"/>
                <w:szCs w:val="21"/>
                <w:highlight w:val="none"/>
              </w:rPr>
              <w:t>三江口中心幼儿园</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人、</w:t>
            </w:r>
            <w:r>
              <w:rPr>
                <w:rFonts w:hint="eastAsia" w:ascii="宋体" w:hAnsi="宋体" w:eastAsia="宋体" w:cs="宋体"/>
                <w:sz w:val="21"/>
                <w:szCs w:val="21"/>
                <w:highlight w:val="none"/>
                <w:lang w:eastAsia="zh-CN"/>
              </w:rPr>
              <w:t>白塘中心幼儿园</w:t>
            </w:r>
            <w:r>
              <w:rPr>
                <w:rFonts w:hint="eastAsia" w:ascii="宋体" w:hAnsi="宋体" w:eastAsia="宋体" w:cs="宋体"/>
                <w:sz w:val="21"/>
                <w:szCs w:val="21"/>
                <w:highlight w:val="none"/>
                <w:lang w:val="en-US" w:eastAsia="zh-CN"/>
              </w:rPr>
              <w:t>1人、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国欢中心幼儿园</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人、石庭中心幼儿园</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人</w:t>
            </w:r>
            <w:r>
              <w:rPr>
                <w:rFonts w:hint="eastAsia" w:ascii="宋体" w:hAnsi="宋体" w:eastAsia="宋体" w:cs="宋体"/>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妇女儿童活动中心幼儿园2人（委托）。</w:t>
            </w:r>
          </w:p>
        </w:tc>
      </w:tr>
    </w:tbl>
    <w:p>
      <w:pPr>
        <w:keepNext w:val="0"/>
        <w:keepLines w:val="0"/>
        <w:pageBreakBefore w:val="0"/>
        <w:widowControl w:val="0"/>
        <w:tabs>
          <w:tab w:val="center" w:pos="4535"/>
          <w:tab w:val="right" w:pos="9070"/>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 w:eastAsia="仿宋_GB2312"/>
          <w:sz w:val="21"/>
          <w:szCs w:val="21"/>
          <w:highlight w:val="none"/>
          <w:lang w:eastAsia="zh-CN"/>
        </w:rPr>
      </w:pPr>
      <w:r>
        <w:rPr>
          <w:rFonts w:hint="eastAsia" w:ascii="仿宋_GB2312" w:hAnsi="仿宋" w:eastAsia="仿宋_GB2312"/>
          <w:sz w:val="21"/>
          <w:szCs w:val="21"/>
          <w:highlight w:val="none"/>
          <w:lang w:eastAsia="zh-CN"/>
        </w:rPr>
        <w:t>说明：涵江区妇女儿童活动中心幼儿园为涵江区妇联举办的幼儿园。</w:t>
      </w:r>
    </w:p>
    <w:p>
      <w:pPr>
        <w:shd w:val="clear" w:color="auto" w:fill="FFFFFF"/>
        <w:tabs>
          <w:tab w:val="center" w:pos="4535"/>
          <w:tab w:val="right" w:pos="9070"/>
        </w:tabs>
        <w:spacing w:line="520" w:lineRule="exact"/>
        <w:jc w:val="left"/>
        <w:rPr>
          <w:rFonts w:hint="eastAsia" w:ascii="仿宋_GB2312" w:hAnsi="仿宋" w:eastAsia="仿宋_GB2312" w:cs="宋体"/>
          <w:kern w:val="0"/>
          <w:sz w:val="32"/>
          <w:szCs w:val="32"/>
          <w:highlight w:val="none"/>
        </w:rPr>
      </w:pPr>
      <w:r>
        <w:rPr>
          <w:rFonts w:hint="eastAsia" w:ascii="仿宋" w:hAnsi="仿宋" w:eastAsia="仿宋"/>
          <w:sz w:val="32"/>
          <w:szCs w:val="32"/>
        </w:rPr>
        <w:br w:type="page"/>
      </w:r>
      <w:r>
        <w:rPr>
          <w:rFonts w:hint="eastAsia" w:ascii="仿宋_GB2312" w:hAnsi="仿宋" w:eastAsia="仿宋_GB2312" w:cs="宋体"/>
          <w:kern w:val="0"/>
          <w:sz w:val="32"/>
          <w:szCs w:val="32"/>
          <w:highlight w:val="none"/>
        </w:rPr>
        <w:t>附件</w:t>
      </w:r>
      <w:r>
        <w:rPr>
          <w:rFonts w:hint="eastAsia" w:ascii="仿宋_GB2312" w:hAnsi="仿宋" w:eastAsia="仿宋_GB2312" w:cs="宋体"/>
          <w:kern w:val="0"/>
          <w:sz w:val="32"/>
          <w:szCs w:val="32"/>
          <w:highlight w:val="none"/>
          <w:lang w:val="en-US" w:eastAsia="zh-CN"/>
        </w:rPr>
        <w:t>2</w:t>
      </w:r>
      <w:r>
        <w:rPr>
          <w:rFonts w:hint="eastAsia" w:ascii="仿宋_GB2312" w:hAnsi="仿宋" w:eastAsia="仿宋_GB2312" w:cs="宋体"/>
          <w:kern w:val="0"/>
          <w:sz w:val="32"/>
          <w:szCs w:val="32"/>
          <w:highlight w:val="none"/>
        </w:rPr>
        <w:t>：</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outlineLvl w:val="9"/>
        <w:rPr>
          <w:rFonts w:hint="eastAsia" w:ascii="宋体" w:hAnsi="宋体" w:eastAsia="宋体" w:cs="宋体"/>
          <w:b/>
          <w:bCs/>
          <w:spacing w:val="-6"/>
          <w:sz w:val="36"/>
          <w:szCs w:val="36"/>
          <w:highlight w:val="none"/>
          <w:lang w:val="en-US" w:eastAsia="zh-CN"/>
        </w:rPr>
      </w:pPr>
      <w:r>
        <w:rPr>
          <w:rFonts w:hint="eastAsia" w:ascii="宋体" w:hAnsi="宋体" w:eastAsia="宋体" w:cs="宋体"/>
          <w:b/>
          <w:bCs/>
          <w:spacing w:val="-6"/>
          <w:sz w:val="36"/>
          <w:szCs w:val="36"/>
          <w:highlight w:val="none"/>
          <w:lang w:val="en-US" w:eastAsia="zh-CN"/>
        </w:rPr>
        <w:t>2021年莆田市涵江区公开招聘新任教师面试使用教材范围</w:t>
      </w:r>
    </w:p>
    <w:tbl>
      <w:tblPr>
        <w:tblStyle w:val="5"/>
        <w:tblW w:w="9630" w:type="dxa"/>
        <w:jc w:val="center"/>
        <w:tblLayout w:type="autofit"/>
        <w:tblCellMar>
          <w:top w:w="0" w:type="dxa"/>
          <w:left w:w="0" w:type="dxa"/>
          <w:bottom w:w="0" w:type="dxa"/>
          <w:right w:w="0" w:type="dxa"/>
        </w:tblCellMar>
      </w:tblPr>
      <w:tblGrid>
        <w:gridCol w:w="615"/>
        <w:gridCol w:w="974"/>
        <w:gridCol w:w="1230"/>
        <w:gridCol w:w="2270"/>
        <w:gridCol w:w="2270"/>
        <w:gridCol w:w="2271"/>
      </w:tblGrid>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学段</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学科</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册别</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bidi="ar"/>
              </w:rPr>
              <w:t>版次</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高中</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语文</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必修上册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人民教育出版社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2019年8月第1版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高中</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数学</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必修第一册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人民教育出版社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2019年6月第1版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高中</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英语</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必修第一册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人民教育出版社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2019年6月第1版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高中</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物理</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必修第一册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山东科学技术出版社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2020年7月第1版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5</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kern w:val="0"/>
                <w:sz w:val="21"/>
                <w:szCs w:val="21"/>
                <w:highlight w:val="none"/>
                <w:u w:val="none"/>
                <w:lang w:val="en-US" w:eastAsia="zh-CN" w:bidi="ar"/>
              </w:rPr>
              <w:t>高中</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思想政治</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必修一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中国特色社会主义</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人民教育出版社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2020年7月第2版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6</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高中</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历史</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必修</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中外历史纲要（上）</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人民教育出版社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2019年8月第1版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7</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高中</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地理</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必修第一册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人民教育出版社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2019年6月第1版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8</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高中</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体育</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体育与健康</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必修全一册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广东教育出版社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2019年8月第1版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9</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eastAsia="zh-CN"/>
              </w:rPr>
              <w:t>初中</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语文</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七年级下册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人民教育出版社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2016年11月第1版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10</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eastAsia="zh-CN"/>
              </w:rPr>
              <w:t>初中</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数学</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七年级下册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人民教育出版社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2012年10月第1版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11</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eastAsia="zh-CN"/>
              </w:rPr>
              <w:t>初中</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英语</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七年级下册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科学普及出版社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2012年12月第1版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eastAsia="zh-CN"/>
              </w:rPr>
              <w:t>初中</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物理</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八年级下册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人民教育出版社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2012年10月第1版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13</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eastAsia="zh-CN"/>
              </w:rPr>
              <w:t>初中</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color w:val="auto"/>
                <w:spacing w:val="-6"/>
                <w:sz w:val="21"/>
                <w:szCs w:val="21"/>
                <w:highlight w:val="none"/>
                <w:lang w:eastAsia="zh-CN"/>
              </w:rPr>
              <w:t>道德与法治</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七年级下册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人民教育出版社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2016年11月第1版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eastAsia="zh-CN"/>
              </w:rPr>
              <w:t>初中</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历史</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rPr>
              <w:t>七年级下册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人民教育出版社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2016年11月第1版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15</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eastAsia="zh-CN"/>
              </w:rPr>
              <w:t>初中</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lang w:eastAsia="zh-CN"/>
              </w:rPr>
              <w:t>地理</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rPr>
              <w:t>七年级下册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lang w:eastAsia="zh-CN"/>
              </w:rPr>
              <w:t>湖南教育出版社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sz w:val="21"/>
                <w:szCs w:val="21"/>
                <w:highlight w:val="none"/>
                <w:u w:val="none"/>
                <w:lang w:val="en-US" w:eastAsia="zh-CN"/>
              </w:rPr>
              <w:t>2002年1月第1版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16</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lang w:eastAsia="zh-CN"/>
              </w:rPr>
            </w:pPr>
            <w:r>
              <w:rPr>
                <w:rFonts w:hint="eastAsia" w:ascii="宋体" w:hAnsi="宋体" w:eastAsia="宋体" w:cs="宋体"/>
                <w:i w:val="0"/>
                <w:color w:val="000000"/>
                <w:sz w:val="21"/>
                <w:szCs w:val="21"/>
                <w:highlight w:val="none"/>
                <w:u w:val="none"/>
                <w:lang w:eastAsia="zh-CN"/>
              </w:rPr>
              <w:t>小学</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语文</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四年级上册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人民教育出版社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2019年6月第1版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17</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eastAsia="zh-CN"/>
              </w:rPr>
              <w:t>小学</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数学</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四年级上册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人民教育出版社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2014年3月第1版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18</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eastAsia="zh-CN"/>
              </w:rPr>
              <w:t>小学</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英语</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四年级上册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福建教育出版社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2013年6月第1版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19</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eastAsia="zh-CN"/>
              </w:rPr>
              <w:t>小学</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音乐</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四年级上册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湖南文艺出版社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2016年7月第1版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20</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eastAsia="zh-CN"/>
              </w:rPr>
              <w:t>小学</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美术</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四年级上册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人民教育出版社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2014年3月第1版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21</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eastAsia="zh-CN"/>
              </w:rPr>
              <w:t>小学</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体育</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体育与健康教师用书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3至4年级全一册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人民教育出版社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2014年3月第1版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22</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eastAsia="zh-CN"/>
              </w:rPr>
              <w:t>小学</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信息技术</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四年级上册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福建教育出版社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2020年6月第1版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23</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eastAsia="zh-CN"/>
              </w:rPr>
              <w:t>小学</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心理健康</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小学生心理健康</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四年级上册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福建教育出版社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2017年8月第1版</w:t>
            </w:r>
          </w:p>
        </w:tc>
      </w:tr>
      <w:tr>
        <w:tblPrEx>
          <w:tblCellMar>
            <w:top w:w="0" w:type="dxa"/>
            <w:left w:w="0" w:type="dxa"/>
            <w:bottom w:w="0" w:type="dxa"/>
            <w:right w:w="0"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24</w:t>
            </w:r>
          </w:p>
        </w:tc>
        <w:tc>
          <w:tcPr>
            <w:tcW w:w="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幼儿园</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幼儿园</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福建省幼儿园教师教育用书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18"/>
                <w:szCs w:val="18"/>
                <w:highlight w:val="none"/>
                <w:u w:val="none"/>
                <w:lang w:val="en-US" w:eastAsia="zh-CN" w:bidi="ar"/>
              </w:rPr>
              <w:t>领域活动指导·大班上册</w:t>
            </w:r>
          </w:p>
        </w:tc>
        <w:tc>
          <w:tcPr>
            <w:tcW w:w="2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福建人民出版社</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2017年8月第2版</w:t>
            </w:r>
          </w:p>
        </w:tc>
      </w:tr>
    </w:tbl>
    <w:p>
      <w:pPr>
        <w:shd w:val="clear" w:color="auto" w:fill="FFFFFF"/>
        <w:tabs>
          <w:tab w:val="center" w:pos="4535"/>
          <w:tab w:val="right" w:pos="9070"/>
        </w:tabs>
        <w:spacing w:line="520" w:lineRule="exact"/>
        <w:jc w:val="left"/>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附件</w:t>
      </w:r>
      <w:r>
        <w:rPr>
          <w:rFonts w:hint="eastAsia" w:ascii="仿宋_GB2312" w:hAnsi="仿宋" w:eastAsia="仿宋_GB2312" w:cs="宋体"/>
          <w:kern w:val="0"/>
          <w:sz w:val="32"/>
          <w:szCs w:val="32"/>
          <w:highlight w:val="none"/>
          <w:lang w:val="en-US" w:eastAsia="zh-CN"/>
        </w:rPr>
        <w:t>3</w:t>
      </w:r>
      <w:r>
        <w:rPr>
          <w:rFonts w:hint="eastAsia" w:ascii="仿宋_GB2312" w:hAnsi="仿宋" w:eastAsia="仿宋_GB2312" w:cs="宋体"/>
          <w:kern w:val="0"/>
          <w:sz w:val="32"/>
          <w:szCs w:val="32"/>
          <w:highlight w:val="none"/>
        </w:rPr>
        <w:t>：</w:t>
      </w:r>
    </w:p>
    <w:p>
      <w:pPr>
        <w:shd w:val="clear" w:color="auto" w:fill="FFFFFF"/>
        <w:tabs>
          <w:tab w:val="center" w:pos="4535"/>
          <w:tab w:val="right" w:pos="9070"/>
        </w:tabs>
        <w:spacing w:line="520" w:lineRule="exact"/>
        <w:jc w:val="center"/>
        <w:rPr>
          <w:rFonts w:hint="eastAsia" w:ascii="宋体" w:hAnsi="宋体" w:eastAsia="宋体" w:cs="宋体"/>
          <w:b/>
          <w:bCs/>
          <w:sz w:val="36"/>
          <w:szCs w:val="36"/>
          <w:highlight w:val="none"/>
        </w:rPr>
      </w:pPr>
      <w:r>
        <w:rPr>
          <w:rFonts w:hint="eastAsia" w:ascii="宋体" w:hAnsi="宋体" w:eastAsia="宋体" w:cs="宋体"/>
          <w:b/>
          <w:bCs/>
          <w:spacing w:val="-6"/>
          <w:sz w:val="36"/>
          <w:szCs w:val="36"/>
          <w:highlight w:val="none"/>
        </w:rPr>
        <w:t>20</w:t>
      </w:r>
      <w:r>
        <w:rPr>
          <w:rFonts w:hint="eastAsia" w:ascii="宋体" w:hAnsi="宋体" w:eastAsia="宋体" w:cs="宋体"/>
          <w:b/>
          <w:bCs/>
          <w:spacing w:val="-6"/>
          <w:sz w:val="36"/>
          <w:szCs w:val="36"/>
          <w:highlight w:val="none"/>
          <w:lang w:val="en-US" w:eastAsia="zh-CN"/>
        </w:rPr>
        <w:t>21</w:t>
      </w:r>
      <w:r>
        <w:rPr>
          <w:rFonts w:hint="eastAsia" w:ascii="宋体" w:hAnsi="宋体" w:eastAsia="宋体" w:cs="宋体"/>
          <w:b/>
          <w:bCs/>
          <w:spacing w:val="-6"/>
          <w:sz w:val="36"/>
          <w:szCs w:val="36"/>
          <w:highlight w:val="none"/>
        </w:rPr>
        <w:t>年</w:t>
      </w:r>
      <w:r>
        <w:rPr>
          <w:rFonts w:hint="eastAsia" w:ascii="宋体" w:hAnsi="宋体" w:eastAsia="宋体" w:cs="宋体"/>
          <w:b/>
          <w:bCs/>
          <w:spacing w:val="-6"/>
          <w:sz w:val="36"/>
          <w:szCs w:val="36"/>
          <w:highlight w:val="none"/>
          <w:lang w:eastAsia="zh-CN"/>
        </w:rPr>
        <w:t>莆田市</w:t>
      </w:r>
      <w:r>
        <w:rPr>
          <w:rFonts w:hint="eastAsia" w:ascii="宋体" w:hAnsi="宋体" w:eastAsia="宋体" w:cs="宋体"/>
          <w:b/>
          <w:bCs/>
          <w:spacing w:val="-6"/>
          <w:sz w:val="36"/>
          <w:szCs w:val="36"/>
          <w:highlight w:val="none"/>
        </w:rPr>
        <w:t>涵江区</w:t>
      </w:r>
      <w:r>
        <w:rPr>
          <w:rFonts w:hint="eastAsia" w:ascii="宋体" w:hAnsi="宋体" w:eastAsia="宋体" w:cs="宋体"/>
          <w:b/>
          <w:bCs/>
          <w:sz w:val="36"/>
          <w:szCs w:val="36"/>
          <w:highlight w:val="none"/>
        </w:rPr>
        <w:t>公开招聘新任教师聘用</w:t>
      </w:r>
      <w:r>
        <w:rPr>
          <w:rFonts w:hint="eastAsia" w:ascii="宋体" w:hAnsi="宋体" w:eastAsia="宋体" w:cs="宋体"/>
          <w:b/>
          <w:bCs/>
          <w:sz w:val="36"/>
          <w:szCs w:val="36"/>
          <w:highlight w:val="none"/>
          <w:lang w:eastAsia="zh-CN"/>
        </w:rPr>
        <w:t>考</w:t>
      </w:r>
      <w:r>
        <w:rPr>
          <w:rFonts w:hint="eastAsia" w:ascii="宋体" w:hAnsi="宋体" w:eastAsia="宋体" w:cs="宋体"/>
          <w:b/>
          <w:bCs/>
          <w:sz w:val="36"/>
          <w:szCs w:val="36"/>
          <w:highlight w:val="none"/>
        </w:rPr>
        <w:t>查表</w:t>
      </w:r>
    </w:p>
    <w:p>
      <w:pPr>
        <w:shd w:val="clear" w:color="auto" w:fill="FFFFFF"/>
        <w:tabs>
          <w:tab w:val="center" w:pos="4535"/>
          <w:tab w:val="right" w:pos="9070"/>
        </w:tabs>
        <w:spacing w:line="520" w:lineRule="exact"/>
        <w:jc w:val="center"/>
        <w:rPr>
          <w:rFonts w:hint="eastAsia" w:ascii="仿宋_GB2312" w:hAnsi="仿宋" w:eastAsia="仿宋_GB2312"/>
          <w:sz w:val="32"/>
          <w:szCs w:val="32"/>
          <w:highlight w:val="none"/>
        </w:rPr>
      </w:pP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683"/>
        <w:gridCol w:w="358"/>
        <w:gridCol w:w="299"/>
        <w:gridCol w:w="571"/>
        <w:gridCol w:w="945"/>
        <w:gridCol w:w="1615"/>
        <w:gridCol w:w="375"/>
        <w:gridCol w:w="620"/>
        <w:gridCol w:w="885"/>
        <w:gridCol w:w="18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12" w:type="dxa"/>
            <w:noWrap w:val="0"/>
            <w:vAlign w:val="center"/>
          </w:tcPr>
          <w:p>
            <w:pPr>
              <w:shd w:val="clear" w:color="auto" w:fill="FFFFFF"/>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911" w:type="dxa"/>
            <w:gridSpan w:val="4"/>
            <w:noWrap w:val="0"/>
            <w:vAlign w:val="center"/>
          </w:tcPr>
          <w:p>
            <w:pPr>
              <w:shd w:val="clear" w:color="auto" w:fill="FFFFFF"/>
              <w:spacing w:line="360" w:lineRule="exact"/>
              <w:jc w:val="center"/>
              <w:rPr>
                <w:rFonts w:hint="eastAsia" w:ascii="仿宋_GB2312" w:hAnsi="仿宋_GB2312" w:eastAsia="仿宋_GB2312" w:cs="仿宋_GB2312"/>
                <w:sz w:val="28"/>
                <w:szCs w:val="28"/>
              </w:rPr>
            </w:pPr>
          </w:p>
        </w:tc>
        <w:tc>
          <w:tcPr>
            <w:tcW w:w="945" w:type="dxa"/>
            <w:noWrap w:val="0"/>
            <w:vAlign w:val="center"/>
          </w:tcPr>
          <w:p>
            <w:pPr>
              <w:shd w:val="clear" w:color="auto" w:fill="FFFFFF"/>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615" w:type="dxa"/>
            <w:noWrap w:val="0"/>
            <w:vAlign w:val="center"/>
          </w:tcPr>
          <w:p>
            <w:pPr>
              <w:shd w:val="clear" w:color="auto" w:fill="FFFFFF"/>
              <w:spacing w:line="360" w:lineRule="exact"/>
              <w:jc w:val="center"/>
              <w:rPr>
                <w:rFonts w:hint="eastAsia" w:ascii="仿宋_GB2312" w:hAnsi="仿宋_GB2312" w:eastAsia="仿宋_GB2312" w:cs="仿宋_GB2312"/>
                <w:sz w:val="28"/>
                <w:szCs w:val="28"/>
              </w:rPr>
            </w:pPr>
          </w:p>
        </w:tc>
        <w:tc>
          <w:tcPr>
            <w:tcW w:w="995" w:type="dxa"/>
            <w:gridSpan w:val="2"/>
            <w:noWrap w:val="0"/>
            <w:vAlign w:val="center"/>
          </w:tcPr>
          <w:p>
            <w:pPr>
              <w:shd w:val="clear" w:color="auto" w:fill="FFFFFF"/>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籍贯</w:t>
            </w:r>
          </w:p>
        </w:tc>
        <w:tc>
          <w:tcPr>
            <w:tcW w:w="2695" w:type="dxa"/>
            <w:gridSpan w:val="2"/>
            <w:noWrap w:val="0"/>
            <w:vAlign w:val="center"/>
          </w:tcPr>
          <w:p>
            <w:pPr>
              <w:shd w:val="clear" w:color="auto" w:fill="FFFFFF"/>
              <w:spacing w:line="36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12" w:type="dxa"/>
            <w:noWrap w:val="0"/>
            <w:vAlign w:val="center"/>
          </w:tcPr>
          <w:p>
            <w:pPr>
              <w:shd w:val="clear" w:color="auto" w:fill="FFFFFF"/>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w:t>
            </w:r>
          </w:p>
          <w:p>
            <w:pPr>
              <w:shd w:val="clear" w:color="auto" w:fill="FFFFFF"/>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年月</w:t>
            </w:r>
          </w:p>
        </w:tc>
        <w:tc>
          <w:tcPr>
            <w:tcW w:w="1911" w:type="dxa"/>
            <w:gridSpan w:val="4"/>
            <w:tcBorders>
              <w:right w:val="single" w:color="auto" w:sz="4" w:space="0"/>
            </w:tcBorders>
            <w:noWrap w:val="0"/>
            <w:vAlign w:val="center"/>
          </w:tcPr>
          <w:p>
            <w:pPr>
              <w:shd w:val="clear" w:color="auto" w:fill="FFFFFF"/>
              <w:spacing w:line="340" w:lineRule="exact"/>
              <w:jc w:val="center"/>
              <w:rPr>
                <w:rFonts w:hint="eastAsia" w:ascii="仿宋_GB2312" w:hAnsi="仿宋_GB2312" w:eastAsia="仿宋_GB2312" w:cs="仿宋_GB2312"/>
                <w:sz w:val="28"/>
                <w:szCs w:val="28"/>
              </w:rPr>
            </w:pPr>
          </w:p>
        </w:tc>
        <w:tc>
          <w:tcPr>
            <w:tcW w:w="945" w:type="dxa"/>
            <w:tcBorders>
              <w:left w:val="single" w:color="auto" w:sz="4" w:space="0"/>
              <w:right w:val="single" w:color="auto" w:sz="4" w:space="0"/>
            </w:tcBorders>
            <w:noWrap w:val="0"/>
            <w:vAlign w:val="center"/>
          </w:tcPr>
          <w:p>
            <w:pPr>
              <w:shd w:val="clear" w:color="auto" w:fill="FFFFFF"/>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政治</w:t>
            </w:r>
          </w:p>
          <w:p>
            <w:pPr>
              <w:shd w:val="clear" w:color="auto" w:fill="FFFFFF"/>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面貌</w:t>
            </w:r>
          </w:p>
        </w:tc>
        <w:tc>
          <w:tcPr>
            <w:tcW w:w="1615" w:type="dxa"/>
            <w:tcBorders>
              <w:left w:val="single" w:color="auto" w:sz="4" w:space="0"/>
              <w:right w:val="single" w:color="auto" w:sz="4" w:space="0"/>
            </w:tcBorders>
            <w:noWrap w:val="0"/>
            <w:vAlign w:val="center"/>
          </w:tcPr>
          <w:p>
            <w:pPr>
              <w:shd w:val="clear" w:color="auto" w:fill="FFFFFF"/>
              <w:spacing w:line="340" w:lineRule="exact"/>
              <w:jc w:val="center"/>
              <w:rPr>
                <w:rFonts w:hint="eastAsia" w:ascii="仿宋_GB2312" w:hAnsi="仿宋_GB2312" w:eastAsia="仿宋_GB2312" w:cs="仿宋_GB2312"/>
                <w:sz w:val="28"/>
                <w:szCs w:val="28"/>
              </w:rPr>
            </w:pPr>
          </w:p>
        </w:tc>
        <w:tc>
          <w:tcPr>
            <w:tcW w:w="995" w:type="dxa"/>
            <w:gridSpan w:val="2"/>
            <w:tcBorders>
              <w:left w:val="single" w:color="auto" w:sz="4" w:space="0"/>
              <w:right w:val="single" w:color="auto" w:sz="4" w:space="0"/>
            </w:tcBorders>
            <w:noWrap w:val="0"/>
            <w:vAlign w:val="center"/>
          </w:tcPr>
          <w:p>
            <w:pPr>
              <w:shd w:val="clear" w:color="auto" w:fill="FFFFFF"/>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最高学历</w:t>
            </w:r>
          </w:p>
        </w:tc>
        <w:tc>
          <w:tcPr>
            <w:tcW w:w="2695" w:type="dxa"/>
            <w:gridSpan w:val="2"/>
            <w:tcBorders>
              <w:left w:val="single" w:color="auto" w:sz="4" w:space="0"/>
            </w:tcBorders>
            <w:noWrap w:val="0"/>
            <w:vAlign w:val="center"/>
          </w:tcPr>
          <w:p>
            <w:pPr>
              <w:shd w:val="clear" w:color="auto" w:fill="FFFFFF"/>
              <w:spacing w:line="34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153" w:type="dxa"/>
            <w:gridSpan w:val="3"/>
            <w:tcBorders>
              <w:bottom w:val="single" w:color="auto" w:sz="4" w:space="0"/>
              <w:right w:val="single" w:color="auto" w:sz="4" w:space="0"/>
            </w:tcBorders>
            <w:noWrap w:val="0"/>
            <w:vAlign w:val="center"/>
          </w:tcPr>
          <w:p>
            <w:pPr>
              <w:shd w:val="clear" w:color="auto" w:fill="FFFFFF"/>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_GB2312" w:hAnsi="仿宋_GB2312" w:eastAsia="仿宋_GB2312" w:cs="仿宋_GB2312"/>
                <w:sz w:val="28"/>
                <w:szCs w:val="28"/>
              </w:rPr>
            </w:pPr>
          </w:p>
        </w:tc>
        <w:tc>
          <w:tcPr>
            <w:tcW w:w="885" w:type="dxa"/>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毕业时间</w:t>
            </w:r>
          </w:p>
        </w:tc>
        <w:tc>
          <w:tcPr>
            <w:tcW w:w="1810" w:type="dxa"/>
            <w:tcBorders>
              <w:left w:val="single" w:color="auto" w:sz="4" w:space="0"/>
              <w:bottom w:val="single" w:color="auto" w:sz="4" w:space="0"/>
            </w:tcBorders>
            <w:noWrap w:val="0"/>
            <w:vAlign w:val="center"/>
          </w:tcPr>
          <w:p>
            <w:pPr>
              <w:shd w:val="clear" w:color="auto" w:fill="FFFFFF"/>
              <w:spacing w:line="34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153" w:type="dxa"/>
            <w:gridSpan w:val="3"/>
            <w:tcBorders>
              <w:bottom w:val="single" w:color="auto" w:sz="4" w:space="0"/>
              <w:right w:val="single" w:color="auto" w:sz="4" w:space="0"/>
            </w:tcBorders>
            <w:noWrap w:val="0"/>
            <w:vAlign w:val="center"/>
          </w:tcPr>
          <w:p>
            <w:pPr>
              <w:shd w:val="clear" w:color="auto" w:fill="FFFFFF"/>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_GB2312" w:hAnsi="仿宋_GB2312" w:eastAsia="仿宋_GB2312" w:cs="仿宋_GB2312"/>
                <w:sz w:val="28"/>
                <w:szCs w:val="28"/>
              </w:rPr>
            </w:pPr>
          </w:p>
        </w:tc>
        <w:tc>
          <w:tcPr>
            <w:tcW w:w="885" w:type="dxa"/>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毕业时间</w:t>
            </w:r>
          </w:p>
        </w:tc>
        <w:tc>
          <w:tcPr>
            <w:tcW w:w="1810" w:type="dxa"/>
            <w:tcBorders>
              <w:left w:val="single" w:color="auto" w:sz="4" w:space="0"/>
              <w:bottom w:val="single" w:color="auto" w:sz="4" w:space="0"/>
            </w:tcBorders>
            <w:noWrap w:val="0"/>
            <w:vAlign w:val="center"/>
          </w:tcPr>
          <w:p>
            <w:pPr>
              <w:shd w:val="clear" w:color="auto" w:fill="FFFFFF"/>
              <w:spacing w:line="34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795" w:type="dxa"/>
            <w:gridSpan w:val="2"/>
            <w:tcBorders>
              <w:bottom w:val="single" w:color="auto" w:sz="4" w:space="0"/>
              <w:right w:val="single" w:color="auto" w:sz="4" w:space="0"/>
            </w:tcBorders>
            <w:noWrap w:val="0"/>
            <w:vAlign w:val="center"/>
          </w:tcPr>
          <w:p>
            <w:pPr>
              <w:shd w:val="clear" w:color="auto" w:fill="FFFFFF"/>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4163" w:type="dxa"/>
            <w:gridSpan w:val="6"/>
            <w:tcBorders>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hAnsi="仿宋_GB2312" w:eastAsia="仿宋_GB2312" w:cs="仿宋_GB2312"/>
                <w:sz w:val="28"/>
                <w:szCs w:val="28"/>
              </w:rPr>
            </w:pPr>
          </w:p>
        </w:tc>
        <w:tc>
          <w:tcPr>
            <w:tcW w:w="1505" w:type="dxa"/>
            <w:gridSpan w:val="2"/>
            <w:tcBorders>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联系手机</w:t>
            </w:r>
          </w:p>
        </w:tc>
        <w:tc>
          <w:tcPr>
            <w:tcW w:w="1810" w:type="dxa"/>
            <w:tcBorders>
              <w:left w:val="single" w:color="auto" w:sz="4" w:space="0"/>
              <w:bottom w:val="single" w:color="auto" w:sz="4" w:space="0"/>
            </w:tcBorders>
            <w:noWrap w:val="0"/>
            <w:vAlign w:val="center"/>
          </w:tcPr>
          <w:p>
            <w:pPr>
              <w:shd w:val="clear" w:color="auto" w:fill="FFFFFF"/>
              <w:spacing w:line="36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452" w:type="dxa"/>
            <w:gridSpan w:val="4"/>
            <w:tcBorders>
              <w:bottom w:val="single" w:color="auto" w:sz="4" w:space="0"/>
              <w:right w:val="single" w:color="auto" w:sz="4" w:space="0"/>
            </w:tcBorders>
            <w:noWrap w:val="0"/>
            <w:vAlign w:val="center"/>
          </w:tcPr>
          <w:p>
            <w:pPr>
              <w:shd w:val="clear" w:color="auto" w:fill="FFFFFF"/>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应聘单位及岗位</w:t>
            </w:r>
          </w:p>
        </w:tc>
        <w:tc>
          <w:tcPr>
            <w:tcW w:w="6821" w:type="dxa"/>
            <w:gridSpan w:val="7"/>
            <w:tcBorders>
              <w:left w:val="single" w:color="auto" w:sz="4" w:space="0"/>
              <w:bottom w:val="single" w:color="auto" w:sz="4" w:space="0"/>
            </w:tcBorders>
            <w:noWrap w:val="0"/>
            <w:vAlign w:val="center"/>
          </w:tcPr>
          <w:p>
            <w:pPr>
              <w:shd w:val="clear" w:color="auto" w:fill="FFFFFF"/>
              <w:spacing w:line="36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0" w:hRule="atLeast"/>
        </w:trPr>
        <w:tc>
          <w:tcPr>
            <w:tcW w:w="1112" w:type="dxa"/>
            <w:noWrap w:val="0"/>
            <w:vAlign w:val="center"/>
          </w:tcPr>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卫健</w:t>
            </w:r>
          </w:p>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8161" w:type="dxa"/>
            <w:gridSpan w:val="10"/>
            <w:noWrap w:val="0"/>
            <w:vAlign w:val="center"/>
          </w:tcPr>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审核人（签名）：</w:t>
            </w:r>
          </w:p>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单位（盖章）：                        </w:t>
            </w:r>
          </w:p>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0" w:hRule="atLeast"/>
        </w:trPr>
        <w:tc>
          <w:tcPr>
            <w:tcW w:w="1112" w:type="dxa"/>
            <w:tcBorders>
              <w:bottom w:val="single" w:color="auto" w:sz="4" w:space="0"/>
            </w:tcBorders>
            <w:noWrap w:val="0"/>
            <w:vAlign w:val="center"/>
          </w:tcPr>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公安</w:t>
            </w:r>
          </w:p>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8161" w:type="dxa"/>
            <w:gridSpan w:val="10"/>
            <w:tcBorders>
              <w:bottom w:val="single" w:color="auto" w:sz="4" w:space="0"/>
            </w:tcBorders>
            <w:noWrap w:val="0"/>
            <w:vAlign w:val="center"/>
          </w:tcPr>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审核人（签名）：</w:t>
            </w:r>
          </w:p>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单位（盖章）：                        </w:t>
            </w:r>
          </w:p>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0" w:hRule="atLeast"/>
        </w:trPr>
        <w:tc>
          <w:tcPr>
            <w:tcW w:w="1112" w:type="dxa"/>
            <w:tcBorders>
              <w:top w:val="single" w:color="auto" w:sz="4" w:space="0"/>
            </w:tcBorders>
            <w:noWrap w:val="0"/>
            <w:vAlign w:val="center"/>
          </w:tcPr>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档案</w:t>
            </w:r>
          </w:p>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审查</w:t>
            </w:r>
          </w:p>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8161" w:type="dxa"/>
            <w:gridSpan w:val="10"/>
            <w:tcBorders>
              <w:top w:val="single" w:color="auto" w:sz="4" w:space="0"/>
            </w:tcBorders>
            <w:noWrap w:val="0"/>
            <w:vAlign w:val="center"/>
          </w:tcPr>
          <w:p>
            <w:pPr>
              <w:shd w:val="clear" w:color="auto" w:fill="FFFFFF"/>
              <w:spacing w:line="520" w:lineRule="exact"/>
              <w:jc w:val="center"/>
              <w:rPr>
                <w:rFonts w:hint="eastAsia" w:ascii="仿宋_GB2312" w:hAnsi="仿宋_GB2312" w:eastAsia="仿宋_GB2312" w:cs="仿宋_GB2312"/>
                <w:sz w:val="28"/>
                <w:szCs w:val="28"/>
              </w:rPr>
            </w:pPr>
          </w:p>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审核人（签名）：</w:t>
            </w:r>
          </w:p>
          <w:p>
            <w:pPr>
              <w:shd w:val="clear" w:color="auto" w:fill="FFFFFF"/>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hd w:val="clear" w:color="auto" w:fill="FFFFFF"/>
              <w:spacing w:line="520" w:lineRule="exact"/>
              <w:ind w:firstLine="3920" w:firstLineChars="1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shd w:val="clear" w:color="auto" w:fill="FFFFFF"/>
        <w:spacing w:line="500" w:lineRule="exact"/>
        <w:rPr>
          <w:rFonts w:hint="eastAsia" w:ascii="楷体_GB2312" w:hAnsi="楷体_GB2312" w:eastAsia="楷体_GB2312" w:cs="楷体_GB2312"/>
          <w:b/>
          <w:bCs/>
          <w:spacing w:val="-12"/>
          <w:sz w:val="28"/>
          <w:szCs w:val="28"/>
          <w:highlight w:val="none"/>
        </w:rPr>
      </w:pPr>
      <w:r>
        <w:rPr>
          <w:rFonts w:hint="eastAsia" w:ascii="楷体_GB2312" w:hAnsi="楷体_GB2312" w:eastAsia="楷体_GB2312" w:cs="楷体_GB2312"/>
          <w:b/>
          <w:bCs/>
          <w:spacing w:val="-12"/>
          <w:sz w:val="28"/>
          <w:szCs w:val="28"/>
          <w:highlight w:val="none"/>
        </w:rPr>
        <w:t>注：卫健部门意见由县区或以上卫健部门签署，公安部门意见由户籍所在公安部门签署，档案审查意见由</w:t>
      </w:r>
      <w:r>
        <w:rPr>
          <w:rFonts w:hint="eastAsia" w:ascii="楷体_GB2312" w:hAnsi="楷体_GB2312" w:eastAsia="楷体_GB2312" w:cs="楷体_GB2312"/>
          <w:b/>
          <w:bCs/>
          <w:spacing w:val="-12"/>
          <w:sz w:val="28"/>
          <w:szCs w:val="28"/>
          <w:highlight w:val="none"/>
          <w:lang w:eastAsia="zh-CN"/>
        </w:rPr>
        <w:t>涵江区</w:t>
      </w:r>
      <w:r>
        <w:rPr>
          <w:rFonts w:hint="eastAsia" w:ascii="楷体_GB2312" w:hAnsi="楷体_GB2312" w:eastAsia="楷体_GB2312" w:cs="楷体_GB2312"/>
          <w:b/>
          <w:bCs/>
          <w:spacing w:val="-12"/>
          <w:sz w:val="28"/>
          <w:szCs w:val="28"/>
          <w:highlight w:val="none"/>
        </w:rPr>
        <w:t>教育局组织相关人员审查签署 。</w:t>
      </w:r>
    </w:p>
    <w:p>
      <w:pPr>
        <w:shd w:val="clear" w:color="auto" w:fill="FFFFFF"/>
        <w:spacing w:line="500" w:lineRule="exact"/>
        <w:rPr>
          <w:rFonts w:hint="eastAsia" w:ascii="楷体_GB2312" w:hAnsi="楷体_GB2312" w:eastAsia="楷体_GB2312" w:cs="楷体_GB2312"/>
          <w:b/>
          <w:bCs/>
          <w:spacing w:val="-12"/>
          <w:sz w:val="28"/>
          <w:szCs w:val="28"/>
          <w:highlight w:val="none"/>
        </w:rPr>
      </w:pP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附件4：</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①</w:t>
      </w: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关于转发&lt;事业单位公开招聘人员暂行规定&gt;的通知</w:t>
      </w: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闽人发[2006]10号</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各设区市人事局、省直各单位、中央在闽单位：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现将《事业单位公开招聘人员暂行规定》（中华人民共和国人事部第6号令）转发给你们，并结合我省实际，就有关问题提出如下贯彻意见，请一并按照执行。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二、下列人员可以采取直接考核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三、为了充分体现对退役运动员、退役士兵所做贡献的肯定和激励，各部门和单位在招聘工作人员时，应对退役运动员和退役士兵予以适当照顾：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（一）对有突出贡献（指获得奥运会前六名、世锦赛世界杯前三名、亚洲体育三大比赛冠军、全运会冠军）的运动员和荣立一等功的退役士兵，事业单位可采取考核方式予以接收聘用。</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二）事业单位根据岗位人员空缺情况，需通过考试与考核相结合方式从退役运动员和退役士兵中补充工作人员的，可提出招聘方案，报经其上级主管部门和同级政府人事行政部门同意，采取面向退役运动员和退役士兵的有限竞争招聘考试方式进行。</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（三）退役运动员、退役士兵参加事业单位面向社会公开招聘工作人员考试，享有笔试成绩加分待遇，加分不受笔试满分限制，具体加分标准如下: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以上各项加分可以累计，但最高不得超过10分。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四、从2006年1月开始，事业单位以考核方式补充工作人员统一填报《福建省事业单位补充工作人员登记表》一式三份，并凭省人事行政部门签章的《福建省事业单位补充工作人员登记表》办理有关人事关系接转手续。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五、委托我厅进行人事管理的中央在闽单位，应按国家人事部《事业单位公开招聘人员暂行规定》（中华人民共和国人事部第6号令）补充工作人员。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附：1、事业单位公开招聘人员暂行规定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2、福建省事业单位补充工作人员登记表</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w:t>
      </w:r>
    </w:p>
    <w:p>
      <w:pPr>
        <w:keepNext w:val="0"/>
        <w:keepLines w:val="0"/>
        <w:pageBreakBefore w:val="0"/>
        <w:kinsoku/>
        <w:wordWrap/>
        <w:overflowPunct/>
        <w:topLinePunct w:val="0"/>
        <w:autoSpaceDE/>
        <w:autoSpaceDN/>
        <w:bidi w:val="0"/>
        <w:adjustRightInd/>
        <w:snapToGrid/>
        <w:spacing w:line="460" w:lineRule="exact"/>
        <w:ind w:left="0" w:leftChars="0" w:right="0" w:rightChars="0"/>
        <w:jc w:val="right"/>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二○○六年一月十七日</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中华人民共和国人事部令</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第6号</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《事业单位公开招聘人员暂行规定》已经人事部部务会议审议通过，现予发布，自2006年1月1日起执行。</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人 事 部 部 长 张柏林</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二○○五年十一月十六日</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事业单位公开招聘人员暂行规定</w:t>
      </w: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第一章 总 则</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第一条 为实现事业单位人事管理的科学化、制度化和规范化，规范事业单位招聘行为，提高人员素质，制定本规定。</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第二条 事业单位招聘专业技术人员、管理人员和工勤人员，适用本规定。参照公务员制度进行管理和转为企业的事业单位除外。</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事业单位新进人员除国家政策性安置、按干部人事管理权限由上级任命及涉密岗位等确需使用其他方法选拔任用人员外，都要实行公开招聘。</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第三条 公开招聘要坚持德才兼备的用人标准，贯彻公开、平等、竞争、择优的原则。</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第四条 公开招聘要坚持政府宏观管理与落实单位用人自主权相结合，统一规范、分类指导、分级管理。</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第五条 公开招聘由用人单位根据招聘岗位的任职条件及要求，采取考试、考核的方法进行。</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第六条 政府人事行政部门是政府所属事业单位进行公开招聘工作的主管机关。政府人事行政部门与事业单位的上级主管部门负责对事业单位公开招聘工作进行指导、监督和管理。</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第七条 事业单位可以成立由本单位人事部门、纪检监察部门、职工代表及有关专家组成的招聘工作组织，负责招聘工作的具体实施。</w:t>
      </w: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第二章 招聘范围、条件及程序</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第八条 事业单位招聘人员应当面向社会，凡符合条件的各类人员均可报名应聘。</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第九条 应聘人员必须具备下列条件：</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（一）具有中华人民共和国国籍；</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（二）遵守宪法和法律；</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（三）具有良好的品行；</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（四）岗位所需的专业或技能条件；</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（五）适应岗位要求的身体条件；</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（六）岗位所需要的其他条件。</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第十条 事业单位公开招聘人员，不得设置歧视性条件要求。</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第十一条 公开招聘应按下列程序进行：</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（一）制定招聘计划；</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（二）发布招聘信息；</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（三）受理应聘人员的申请，对资格条件进行审查；</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（四）考试、考核；</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（五）身体检查；</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（六）根据考试、考核结果，确定拟聘人员；</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（七）公示招聘结果；</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（八）签订聘用合同，办理聘用手续。 </w:t>
      </w: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第三章 招聘计划、信息发布与资格审查</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第十二条 招聘计划由用人单位负责编制，主要包括以下内容：招聘的岗位及条件、招聘的时间、招聘人员的数量、采用的招聘方式等。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第十三条 国务院直属事业单位的年度招聘计划须报人事部备案；国务院各部委直属事业单位的招聘计划须报上级主管部门核准并报人事部备案。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各省、自治区、直辖市人民政府直属事业单位的招聘计划须报省（区、市）政府人事行政部门备案；各省、自治区、直辖市政府部门直属事业单位的招聘计划须报上级主管部门核准并报同级政府人事行政部门备案。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地（市）、县（市）人民政府所属事业单位的招聘计划须报地区或设区的市政府人事行政部门核准。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第十四条 事业单位招聘人员应当公开发布招聘信息，招聘信息应当载明用人单位情况简介、招聘的岗位、招聘人员数量及待遇；应聘人员条件；招聘办法；考试、考核的时间（时限）、内容、范围；报名方法等需要说明的事项。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第十五条 用人单位或组织招聘的部门应对应聘人员的资格条件进行审查，确定符合条件的人员。 </w:t>
      </w: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第四章 考试与考核</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第十六条 考试内容应为招聘岗位所必需的专业知识、业务能力和工作技能。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第十七条 考试科目与方式根据行业、专业及岗位特点确定。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第十八条 考试可采取笔试、面试等多种方式。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对于应聘工勤岗位的人员，可根据需要重点进行实际操作能力测试。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第十九条 考试由事业单位自行组织，也可以由政府人事行政部门、事业单位上级主管部门统一组织。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政府人事行政部门所属考试服务机构和人才服务机构可受事业单位、政府人事行政部门或事业单位上级主管部门委托，为事业单位公开招聘人员提供服务。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第二十条 急需引进的高层次、短缺专业人才，具有高级专业技术职务或博士学位的人员，可以采取直接考核的方式招聘。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第二十一条 对通过考试的应聘人员，用人单位应组织对其思想政治表现、道德品质、业务能力、工作实绩等情况进行考核，并对应聘人员资格条件进行复查。 </w:t>
      </w: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第五章 聘 用</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第二十二条 经用人单位负责人员集体研究，按照考试和考核结果择优确定拟聘人员。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第二十三条 对拟聘人员应在适当范围进行公示，公示期一般为7至15日。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第二十四条 用人单位与拟聘人员签订聘用合同前，按照干部人事管理权限的规定报批或备案。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第二十五条 用人单位法定代表人或者其委托人与受聘人员签订聘用合同，确立人事关系。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第二十六条 事业单位公开招聘的人员按规定实行试用期制度。试用期包括在聘用合同期限内。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试用期满合格的，予以正式聘用；不合格的，取消聘用。 </w:t>
      </w: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第六章 纪律与监督</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第二十七条 事业单位公开招聘人员实行回避制度。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凡与聘用单位负责人员有夫妻关系、直系血亲关系、三代以内旁系血亲或者近姻亲关系的应聘人员，不得应聘该单位负责人员的秘书或者人事、财务、纪律检查岗位，以及有直接上下级领导关系的岗位。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聘用单位负责人员和招聘工作人员在办理人员聘用事项时，涉及与本人有上述亲属关系或者其他可能影响招聘公正的，也应当回避。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第二十八条 招聘工作要做到信息公开、过程公开、结果公开，接受社会及有关部门的监督。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第二十九条 政府人事行政部门和事业单位的上级主管部门要认真履行监管职责，对事业单位招聘过程中违反干部人事纪律及本规定的行为要予以制止和纠正，保证招聘工作的公开、公平、公正。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第三十条 严格公开招聘纪律。对有下列违反本规定情形的，必须严肃处理。构成犯罪的，依法追究刑事责任。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（一）应聘人员伪造、涂改证件、证明，或以其他不正当手段获取应聘资格的；</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（二）应聘人员在考试考核过程中作弊的；</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（三）招聘工作人员指使、纵容他人作弊，或在考试考核过程中参与作弊的；</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（四）招聘工作人员故意泄露考试题目的；</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（五）事业单位负责人员违反规定私自聘用人员的；</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（六）政府人事行政部门、事业单位主管部门工作人员违反规定，影响招聘公平、公正进行的；</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（七）违反本规定的其他情形的。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第三十一条 对违反公开招聘纪律的应聘人员，视情节轻重取消考试或聘用资格；对违反本规定招聘的受聘人员，一经查实，应当解除聘用合同，予以清退。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第三十二条 对违反公开招聘纪律的工作人员，视情节轻重调离招聘工作岗位或给予处分；对违反公开招聘纪律的其他相关人员，按照有关规定追究责任。 </w:t>
      </w: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第七章 附 则</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第三十三条 事业单位需要招聘外国国籍人员的，须报省级以上政府人事行政部门核准，并按照国家有关规定进行招聘。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第三十四条 省、自治区、直辖市政府人事行政部门可以根据本规定，制定本地区的公开招聘办法。 </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    第三十五条 本规定自2006年1月1日起执行。</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②</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1619" w:firstLineChars="448"/>
        <w:textAlignment w:val="auto"/>
        <w:outlineLvl w:val="9"/>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关于进一步完善参加“三支一扶”计划</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716" w:firstLineChars="198"/>
        <w:textAlignment w:val="auto"/>
        <w:outlineLvl w:val="9"/>
        <w:rPr>
          <w:rFonts w:hint="eastAsia" w:ascii="宋体" w:hAnsi="宋体" w:eastAsia="宋体" w:cs="宋体"/>
          <w:b/>
          <w:bCs/>
          <w:sz w:val="36"/>
          <w:szCs w:val="36"/>
          <w:highlight w:val="none"/>
        </w:rPr>
      </w:pPr>
      <w:r>
        <w:rPr>
          <w:rFonts w:hint="eastAsia" w:ascii="宋体" w:hAnsi="宋体" w:eastAsia="宋体" w:cs="宋体"/>
          <w:b/>
          <w:bCs/>
          <w:kern w:val="0"/>
          <w:sz w:val="36"/>
          <w:szCs w:val="36"/>
          <w:highlight w:val="none"/>
        </w:rPr>
        <w:t>等服务基层项目高校毕业生有关就业政策的通知</w:t>
      </w: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闽人发〔2009〕221号</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各市、县(区)人事局，各有关市、县(区)“三支一扶”办：</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一、服务基层项目主要包括：福建省级和设区市级高校毕业生“三支一扶”计划、福建省高校毕业生服务社区计划、福建省大学生志愿服务欠发达地区计划、大学生志愿服务西部计划（含研究生支教团）。</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三、参加服务基层项目服务期为两年及以上期满考核合格的高校毕业生三年内报考我省事业单位工作人员招聘考试，既可按有两年以上基层工作经验报考，也可按应届毕业生身份报考。</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七、凡通过享受政策待遇，被录（聘）为公务员和事业单位工作人员的服务基层项目高校毕业生，不再享受报考公务员和事业单位加分和专门职位招考优惠政策。</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八、本通知从印发之日起执行，参加省外组织实施的上述服务基层项目福建生源高校毕业生参照执行。</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p>
    <w:p>
      <w:pPr>
        <w:keepNext w:val="0"/>
        <w:keepLines w:val="0"/>
        <w:pageBreakBefore w:val="0"/>
        <w:kinsoku/>
        <w:wordWrap/>
        <w:overflowPunct/>
        <w:topLinePunct w:val="0"/>
        <w:autoSpaceDE/>
        <w:autoSpaceDN/>
        <w:bidi w:val="0"/>
        <w:adjustRightInd/>
        <w:snapToGrid/>
        <w:spacing w:line="460" w:lineRule="exact"/>
        <w:ind w:left="0" w:leftChars="0" w:right="0" w:rightChars="0" w:firstLine="899" w:firstLineChars="281"/>
        <w:jc w:val="center"/>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福建省公务员局</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899" w:firstLineChars="281"/>
        <w:jc w:val="center"/>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福建省人力资源开发办公室</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899" w:firstLineChars="281"/>
        <w:jc w:val="center"/>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福建省高校毕业生“三支一扶”工作协调管理办公室</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899" w:firstLineChars="281"/>
        <w:jc w:val="center"/>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二○○九年九月二十五日</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③</w:t>
      </w: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关于农村独女户、二女户女儿</w:t>
      </w: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在参加事业单位招聘时给予加分的通知</w:t>
      </w: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莆政办〔2012〕225号</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各县（区）人民政府（管委会）、市直有关单位：</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为认真贯彻落实省委、省政府《关于实施“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户女儿笔试成绩分别加4分、2分并计入总分的待遇。</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p>
    <w:p>
      <w:pPr>
        <w:keepNext w:val="0"/>
        <w:keepLines w:val="0"/>
        <w:pageBreakBefore w:val="0"/>
        <w:kinsoku/>
        <w:wordWrap/>
        <w:overflowPunct/>
        <w:topLinePunct w:val="0"/>
        <w:autoSpaceDE/>
        <w:autoSpaceDN/>
        <w:bidi w:val="0"/>
        <w:adjustRightInd/>
        <w:snapToGrid/>
        <w:spacing w:line="460" w:lineRule="exact"/>
        <w:ind w:left="0" w:leftChars="0" w:right="0" w:rightChars="0" w:firstLine="4857" w:firstLineChars="1518"/>
        <w:jc w:val="center"/>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莆田市人民政府办公室</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57" w:firstLineChars="1518"/>
        <w:jc w:val="center"/>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2012年11月20日</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④</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中共莆田市委办公室  市人民政府办公室</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关于进一步做好引进人才家属子女就业工作的通知</w:t>
      </w:r>
    </w:p>
    <w:p>
      <w:pPr>
        <w:keepNext w:val="0"/>
        <w:keepLines w:val="0"/>
        <w:pageBreakBefore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莆委办〔2010〕64号</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各县区委（工委）、人民政府（管委会），市直有关单位：</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为进一步做好人才引进工作，切实解决引进人才家属子女就业问题，根据国家人事部和省有关部门的规定，结合我市实际情况，现就引进人才家属子女就业工作通知如下：</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1、引进高层次人才的尚未就业家属子发女进入事业单位工作，必须参加公开招聘考试，</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符合岗位设置的条件，实行笔试加分政策。具体加分分值（按100分制的笔试成绩加分）为：</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（1）两院院士的家属子女加30分；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（2）国家“千人计划”专家的属子女加28分；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（3）国家“863计划”、“973计划”专家组组长、副组长的家属子女加25分；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（4）国家有突贡献的中青年专家、享受国务院特殊津贴专家的家属子女加20分；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（5）担任国家科技攻关课题负责人、国家重点实验室副主任以上、学术委员会副主任以上、学部委员的教授给专家的家属子女加18分；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（6）相当于长江学者成就奖的教授专家的家属子女加15分；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（7）获得相当于国家科技进步三等奖以上、省科技进步二等奖以上的教授级第一完成人的家属子女加10分；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（8）教授、博士的家属子女加5分；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加分分值按照就高原则，不重复加分。</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2、引进人才家属、子女已就业的，可按同类性质单位随调，组织人事部门要积极协调相关单位抓好落实。</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3、对家属子女不符合事业单位设置条件的，引进单位可自行聘用，不列入编制内。</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4、莆田学院内现有的教授、博士研究生的家属子女，符合事业单位招考岗位条件要求，具备上述条件可享受同等待遇。</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5、过去规定与本意见不一致的，按本意见执行。</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460" w:lineRule="exact"/>
        <w:ind w:left="0" w:leftChars="0" w:right="0" w:rightChars="0" w:firstLine="4617" w:firstLineChars="1443"/>
        <w:jc w:val="center"/>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中共莆田市委办公室</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617" w:firstLineChars="1443"/>
        <w:jc w:val="center"/>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莆田市人民政府办公室</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617" w:firstLineChars="1443"/>
        <w:jc w:val="center"/>
        <w:textAlignment w:val="auto"/>
        <w:outlineLvl w:val="9"/>
        <w:rPr>
          <w:rFonts w:hint="eastAsia" w:ascii="仿宋_GB2312" w:hAnsi="仿宋_GB2312" w:eastAsia="仿宋_GB2312" w:cs="仿宋_GB2312"/>
          <w:b/>
          <w:bCs/>
          <w:spacing w:val="-12"/>
          <w:sz w:val="32"/>
          <w:szCs w:val="32"/>
          <w:highlight w:val="none"/>
        </w:rPr>
      </w:pPr>
      <w:r>
        <w:rPr>
          <w:rFonts w:hint="eastAsia" w:ascii="仿宋_GB2312" w:hAnsi="仿宋_GB2312" w:eastAsia="仿宋_GB2312" w:cs="仿宋_GB2312"/>
          <w:sz w:val="32"/>
          <w:szCs w:val="32"/>
          <w:highlight w:val="none"/>
        </w:rPr>
        <w:t>2010年11月30日</w:t>
      </w:r>
    </w:p>
    <w:p>
      <w:bookmarkStart w:id="0" w:name="_GoBack"/>
      <w:bookmarkEnd w:id="0"/>
    </w:p>
    <w:sectPr>
      <w:headerReference r:id="rId3" w:type="default"/>
      <w:footerReference r:id="rId4" w:type="default"/>
      <w:footerReference r:id="rId5" w:type="even"/>
      <w:pgSz w:w="11906" w:h="16838"/>
      <w:pgMar w:top="1418" w:right="1418" w:bottom="1418" w:left="1474" w:header="851"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line-height:2;">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FangSong_GB2312">
    <w:altName w:val="仿宋"/>
    <w:panose1 w:val="02010609030101010101"/>
    <w:charset w:val="86"/>
    <w:family w:val="modern"/>
    <w:pitch w:val="default"/>
    <w:sig w:usb0="00000000" w:usb1="00000000" w:usb2="00000000" w:usb3="00000000" w:csb0="00040000" w:csb1="00000000"/>
  </w:font>
  <w:font w:name="å®‹ä½“">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snapToGrid w:val="0"/>
      <w:rPr>
        <w:rFonts w:hint="eastAsia" w:ascii="仿宋_GB2312" w:hAnsi="仿宋_GB2312" w:eastAsia="仿宋_GB2312" w:cs="仿宋_GB2312"/>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E1D69"/>
    <w:rsid w:val="00670EB5"/>
    <w:rsid w:val="06D916CA"/>
    <w:rsid w:val="1B764399"/>
    <w:rsid w:val="211E1D69"/>
    <w:rsid w:val="24953B82"/>
    <w:rsid w:val="299F6987"/>
    <w:rsid w:val="2B851EC1"/>
    <w:rsid w:val="52C9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semiHidden/>
    <w:uiPriority w:val="0"/>
    <w:rPr>
      <w:sz w:val="24"/>
    </w:rPr>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 Char1"/>
    <w:basedOn w:val="1"/>
    <w:link w:val="6"/>
    <w:qFormat/>
    <w:uiPriority w:val="0"/>
    <w:pPr>
      <w:tabs>
        <w:tab w:val="left" w:pos="0"/>
      </w:tabs>
      <w:spacing w:line="360" w:lineRule="auto"/>
    </w:pPr>
    <w:rPr>
      <w:sz w:val="24"/>
    </w:rPr>
  </w:style>
  <w:style w:type="character" w:styleId="8">
    <w:name w:val="Strong"/>
    <w:basedOn w:val="6"/>
    <w:qFormat/>
    <w:uiPriority w:val="0"/>
    <w:rPr>
      <w:b/>
    </w:rPr>
  </w:style>
  <w:style w:type="character" w:styleId="9">
    <w:name w:val="page number"/>
    <w:basedOn w:val="6"/>
    <w:qFormat/>
    <w:uiPriority w:val="0"/>
  </w:style>
  <w:style w:type="character" w:styleId="10">
    <w:name w:val="FollowedHyperlink"/>
    <w:basedOn w:val="6"/>
    <w:uiPriority w:val="0"/>
    <w:rPr>
      <w:color w:val="333333"/>
      <w:sz w:val="21"/>
      <w:szCs w:val="21"/>
      <w:u w:val="none"/>
      <w:bdr w:val="none" w:color="auto" w:sz="0" w:space="0"/>
      <w:vertAlign w:val="baseline"/>
    </w:rPr>
  </w:style>
  <w:style w:type="character" w:styleId="11">
    <w:name w:val="Hyperlink"/>
    <w:basedOn w:val="6"/>
    <w:uiPriority w:val="0"/>
    <w:rPr>
      <w:color w:val="333333"/>
      <w:sz w:val="21"/>
      <w:szCs w:val="21"/>
      <w:u w:val="none"/>
      <w:bdr w:val="none" w:color="auto" w:sz="0" w:space="0"/>
      <w:vertAlign w:val="baseline"/>
    </w:rPr>
  </w:style>
  <w:style w:type="character" w:customStyle="1" w:styleId="12">
    <w:name w:val="hidebtn"/>
    <w:basedOn w:val="6"/>
    <w:uiPriority w:val="0"/>
  </w:style>
  <w:style w:type="character" w:customStyle="1" w:styleId="13">
    <w:name w:val="showbtn"/>
    <w:basedOn w:val="6"/>
    <w:uiPriority w:val="0"/>
    <w:rPr>
      <w:vanish/>
    </w:rPr>
  </w:style>
  <w:style w:type="paragraph" w:customStyle="1" w:styleId="14">
    <w:name w:val="p0"/>
    <w:basedOn w:val="1"/>
    <w:uiPriority w:val="0"/>
    <w:pPr>
      <w:widowControl/>
    </w:pPr>
    <w:rPr>
      <w:kern w:val="0"/>
      <w:szCs w:val="21"/>
    </w:rPr>
  </w:style>
  <w:style w:type="character" w:customStyle="1" w:styleId="15">
    <w:name w:val="font11"/>
    <w:basedOn w:val="6"/>
    <w:qFormat/>
    <w:uiPriority w:val="0"/>
    <w:rPr>
      <w:rFonts w:hint="default"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2009-06-30T16:52:00Z</dcterms:created>
  <dc:creator>Administrator</dc:creator>
  <cp:lastModifiedBy>Administrator</cp:lastModifiedBy>
  <dcterms:modified xsi:type="dcterms:W3CDTF">2009-06-30T20:03:49Z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