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b w:val="0"/>
          <w:i w:val="0"/>
          <w:caps w:val="0"/>
          <w:color w:val="000000"/>
          <w:spacing w:val="0"/>
          <w:sz w:val="32"/>
          <w:szCs w:val="32"/>
          <w:shd w:val="clear" w:color="auto"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i w:val="0"/>
          <w:caps w:val="0"/>
          <w:color w:val="000000"/>
          <w:spacing w:val="0"/>
          <w:sz w:val="44"/>
          <w:szCs w:val="44"/>
          <w:shd w:val="clear" w:color="auto" w:fill="FFFFFF"/>
        </w:rPr>
      </w:pPr>
      <w:r>
        <w:rPr>
          <w:rFonts w:hint="eastAsia" w:ascii="方正小标宋简体" w:hAnsi="方正小标宋简体" w:eastAsia="方正小标宋简体" w:cs="方正小标宋简体"/>
          <w:b w:val="0"/>
          <w:i w:val="0"/>
          <w:caps w:val="0"/>
          <w:color w:val="000000"/>
          <w:spacing w:val="0"/>
          <w:sz w:val="44"/>
          <w:szCs w:val="44"/>
          <w:shd w:val="clear" w:color="auto" w:fill="FFFFFF"/>
        </w:rPr>
        <w:t>事业单位公开招聘违纪违规行为处理规定</w:t>
      </w:r>
    </w:p>
    <w:p>
      <w:pPr>
        <w:rPr>
          <w:rFonts w:hint="eastAsia" w:ascii="仿宋" w:hAnsi="仿宋" w:eastAsia="仿宋" w:cs="仿宋"/>
          <w:b w:val="0"/>
          <w:i w:val="0"/>
          <w:caps w:val="0"/>
          <w:color w:val="000000"/>
          <w:spacing w:val="0"/>
          <w:sz w:val="32"/>
          <w:szCs w:val="32"/>
          <w:shd w:val="clear" w:color="auto"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color w:val="000000"/>
          <w:sz w:val="32"/>
          <w:szCs w:val="32"/>
        </w:rPr>
      </w:pPr>
      <w:r>
        <w:rPr>
          <w:rFonts w:hint="eastAsia" w:ascii="黑体" w:hAnsi="黑体" w:eastAsia="黑体" w:cs="黑体"/>
          <w:b w:val="0"/>
          <w:bCs/>
          <w:i w:val="0"/>
          <w:caps w:val="0"/>
          <w:color w:val="000000"/>
          <w:spacing w:val="0"/>
          <w:sz w:val="32"/>
          <w:szCs w:val="32"/>
          <w:shd w:val="clear" w:color="auto" w:fill="FFFFFF"/>
        </w:rPr>
        <w:t>第一章 总 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第一条 为加强事业单位公开招聘工作管理，规范公开招聘违纪违规行为的认定与处理，保证招聘工作公开、公平、公正，根据《事业单位人事管理条例》等有关规定，制定本规定。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第二条 事业单位公开招聘中违纪违规行为的认定与处理，适用本规定。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第三条 认定与处理公开招聘违纪违规行为，应当事实清楚、证据确凿、程序规范、适用规定准确。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第四条 中央事业单位人事综合管理部门负责全国事业单位公开招聘工作的综合管理与监督。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各级事业单位人事综合管理部门、事业单位主管部门、招聘单位按照事业单位公开招聘管理权限，依据本规定对公开招聘违纪违规行为进行认定与处理。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b w:val="0"/>
          <w:bCs/>
          <w:i w:val="0"/>
          <w:caps w:val="0"/>
          <w:color w:val="000000"/>
          <w:spacing w:val="0"/>
          <w:sz w:val="32"/>
          <w:szCs w:val="32"/>
          <w:shd w:val="clear" w:color="auto" w:fill="FFFFFF"/>
        </w:rPr>
      </w:pPr>
      <w:r>
        <w:rPr>
          <w:rFonts w:hint="eastAsia" w:ascii="黑体" w:hAnsi="黑体" w:eastAsia="黑体" w:cs="黑体"/>
          <w:b w:val="0"/>
          <w:bCs/>
          <w:i w:val="0"/>
          <w:caps w:val="0"/>
          <w:color w:val="000000"/>
          <w:spacing w:val="0"/>
          <w:sz w:val="32"/>
          <w:szCs w:val="32"/>
          <w:shd w:val="clear" w:color="auto" w:fill="FFFFFF"/>
        </w:rPr>
        <w:t>第二章 应聘人员违纪违规行为处理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第五条 应聘人员在报名过程中有下列违纪违规行为之一的，取消其本次应聘资格：</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（一）伪造、涂改证件、证明等报名材料，或者以其他不正当手段获取应聘资格的；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（二）提供的涉及报考资格的申请材料或者信息不实，且影响报名审核结果的；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（三）其他应当取消其本次应聘资格的违纪违规行为。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第六条 应聘人员在考试过程中有下列违纪违规行为之一的，给予其当次该科目考试成绩无效的处理：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（一）携带规定以外的物品进入考场且未按要求放在指定位置，经提醒仍不改正的；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（二）未在规定座位参加考试，或者未经考试工作人员允许擅自离开座位或者考场，经提醒仍不改正的；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（三）经提醒仍不按规定填写、填涂本人信息的；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（四）在试卷、答题纸、答题卡规定以外位置标注本人信息或者其他特殊标记的；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（五）在考试开始信号发出前答题，或者在考试结束信号发出后继续答题，经提醒仍不停止的；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（六）将试卷、答题卡、答题纸带出考场，或者故意损坏试卷、答题卡、答题纸及考试相关设施设备的；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（七）其他应当给予当次该科目考试成绩无效处理的违纪违规行为。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第七条 应聘人员在考试过程中有下列严重违纪违规行为之一的，给予其当次全部科目考试成绩无效的处理，并将其违纪违规行为记入事业单位公开招聘应聘人员诚信档案库，记录期限为五年：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（一）抄袭、协助他人抄袭的；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（二）互相传递试卷、答题纸、答题卡、草稿纸等的；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（三）持伪造证件参加考试的；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（四）使用禁止带入考场的通讯工具、规定以外的电子用品的；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（五）本人离开考场后，在本场考试结束前，传播考试试题及答案的；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（六）其他应当给予当次全部科目考试成绩无效处理并记入事业单位公开招聘应聘人员诚信档案库的严重违纪违规行为。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第八条 应聘人员有下列特别严重违纪违规行为之一的，给予其当次全部科目考试成绩无效的处理，并将其违纪违规行为记入事业单位公开招聘应聘人员诚信档案库，长期记录：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（一）串通作弊或者参与有组织作弊的；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（二）代替他人或者让他人代替自己参加考试的；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（三）其他应当给予当次全部科目考试成绩无效处理并记入事业单位公开招聘应聘人员诚信档案库的特别严重的违纪违规行为。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（一）故意扰乱考点、考场以及其他招聘工作场所秩序的；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（二）拒绝、妨碍工作人员履行管理职责的；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（三）威胁、侮辱、诽谤、诬陷工作人员或者其他应聘人员的；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（四）其他扰乱招聘工作秩序的违纪违规行为。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应聘人员之间同一科目作答内容雷同，并有其他相关证据证明其违纪违规行为成立的，视具体情形按照本规定第七条、第八条处理。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color w:val="000000"/>
          <w:sz w:val="32"/>
          <w:szCs w:val="32"/>
        </w:rPr>
      </w:pPr>
      <w:r>
        <w:rPr>
          <w:rFonts w:hint="eastAsia" w:ascii="黑体" w:hAnsi="黑体" w:eastAsia="黑体" w:cs="黑体"/>
          <w:b w:val="0"/>
          <w:bCs/>
          <w:i w:val="0"/>
          <w:caps w:val="0"/>
          <w:color w:val="000000"/>
          <w:spacing w:val="0"/>
          <w:sz w:val="32"/>
          <w:szCs w:val="32"/>
          <w:shd w:val="clear" w:color="auto" w:fill="FFFFFF"/>
        </w:rPr>
        <w:t>第三章 招聘单位和招聘工作人员违纪违规行为处理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第十五条 招聘单位在公开招聘中有下列行为之一的，事业单位主管部门或者事业单位人事综合管理部门应当责令限期改正；逾期不改正的，对直接负责的主管人员和其他直接责任人员依法给予处分：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（一）未按规定权限和程序核准（备案）招聘方案，擅自组织公开招聘的；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（二）设置与岗位无关的指向性或者限制性条件的；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（三）未按规定发布招聘公告的；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（四）招聘公告发布后，擅自变更招聘程序、岗位条件、招聘人数、考试考察方式等的；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（五）未按招聘条件进行资格审查的；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（六）未按规定组织体检的；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（七）未按规定公示拟聘用人员名单的；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（八）其他应当责令改正的违纪违规行为。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第十六条 招聘工作人员有下列行为之一的，由相关部门给予处分，并停止其继续参加当年及下一年度招聘工作：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（一）擅自提前考试开始时间、推迟考试结束时间及缩短考试时间的；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（二）擅自为应聘人员调换考场或者座位的；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（三）未准确记录考场情况及违纪违规行为，并造成一定影响的；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（四）未执行回避制度的；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（五）其他一般违纪违规行为。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第十七条 招聘工作人员有下列行为之一的，由相关部门给予处分，并将其调离招聘工作岗位，不得再从事招聘工作；构成犯罪的，依法追究刑事责任：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（一）指使、纵容他人作弊，或者在考试、考察、体检过程中参与作弊的；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（二）在保密期限内，泄露考试试题、面试评分要素等应当保密的信息的；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（三）擅自更改考试评分标准或者不按评分标准进行评卷的；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（四）监管不严，导致考场出现大面积作弊现象的；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（五）玩忽职守，造成不良影响的；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（六）其他严重违纪违规行为。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b w:val="0"/>
          <w:bCs/>
          <w:i w:val="0"/>
          <w:caps w:val="0"/>
          <w:color w:val="000000"/>
          <w:spacing w:val="0"/>
          <w:sz w:val="32"/>
          <w:szCs w:val="32"/>
          <w:shd w:val="clear" w:color="auto" w:fill="FFFFFF"/>
        </w:rPr>
      </w:pPr>
      <w:r>
        <w:rPr>
          <w:rFonts w:hint="eastAsia" w:ascii="黑体" w:hAnsi="黑体" w:eastAsia="黑体" w:cs="黑体"/>
          <w:b w:val="0"/>
          <w:bCs/>
          <w:i w:val="0"/>
          <w:caps w:val="0"/>
          <w:color w:val="000000"/>
          <w:spacing w:val="0"/>
          <w:sz w:val="32"/>
          <w:szCs w:val="32"/>
          <w:shd w:val="clear" w:color="auto" w:fill="FFFFFF"/>
        </w:rPr>
        <w:t>第四章 处理程序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对应聘人员违纪违规行为作出处理决定的，应当制作公开招聘违纪违规行为处理决定书，依法送达被处理的应聘人员。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第二十条 应聘人员对处理决定不服的，可以依法申请行政复议或者提起行政诉讼。</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i w:val="0"/>
          <w:caps w:val="0"/>
          <w:color w:val="000000"/>
          <w:spacing w:val="0"/>
          <w:sz w:val="32"/>
          <w:szCs w:val="32"/>
          <w:shd w:val="clear" w:color="auto" w:fill="FFFFFF"/>
        </w:rPr>
      </w:pPr>
      <w:r>
        <w:rPr>
          <w:rFonts w:hint="eastAsia" w:ascii="仿宋" w:hAnsi="仿宋" w:eastAsia="仿宋" w:cs="仿宋"/>
          <w:i w:val="0"/>
          <w:caps w:val="0"/>
          <w:color w:val="000000"/>
          <w:spacing w:val="0"/>
          <w:sz w:val="32"/>
          <w:szCs w:val="32"/>
          <w:shd w:val="clear" w:color="auto" w:fill="FFFFFF"/>
        </w:rPr>
        <w:t>第二十一条 参与公开招聘的工作人员对因违纪违规行为受到处分不服的，可以依法申请复核或者提出申诉。</w:t>
      </w:r>
    </w:p>
    <w:p>
      <w:pPr>
        <w:pStyle w:val="8"/>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b w:val="0"/>
          <w:bCs/>
          <w:i w:val="0"/>
          <w:caps w:val="0"/>
          <w:color w:val="000000"/>
          <w:spacing w:val="0"/>
          <w:sz w:val="32"/>
          <w:szCs w:val="32"/>
          <w:shd w:val="clear" w:color="auto" w:fill="FFFFFF"/>
        </w:rPr>
      </w:pPr>
      <w:r>
        <w:rPr>
          <w:rFonts w:hint="eastAsia" w:ascii="黑体" w:hAnsi="黑体" w:eastAsia="黑体" w:cs="黑体"/>
          <w:b w:val="0"/>
          <w:bCs/>
          <w:i w:val="0"/>
          <w:caps w:val="0"/>
          <w:color w:val="000000"/>
          <w:spacing w:val="0"/>
          <w:sz w:val="32"/>
          <w:szCs w:val="32"/>
          <w:shd w:val="clear" w:color="auto" w:fill="FFFFFF"/>
        </w:rPr>
        <w:t>附 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第二十二条 本规定自2018年1月1日起施行。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p>
    <w:p>
      <w:bookmarkStart w:id="0" w:name="_GoBack"/>
      <w:bookmarkEnd w:id="0"/>
    </w:p>
    <w:sectPr>
      <w:headerReference r:id="rId3" w:type="default"/>
      <w:footerReference r:id="rId4" w:type="default"/>
      <w:pgSz w:w="11906" w:h="16838"/>
      <w:pgMar w:top="1440" w:right="1803" w:bottom="1440" w:left="1803"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楷体_GB2312">
    <w:altName w:val="楷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New Century Schoolbook">
    <w:altName w:val="Segoe Print"/>
    <w:panose1 w:val="02040603050505020303"/>
    <w:charset w:val="00"/>
    <w:family w:val="roman"/>
    <w:pitch w:val="default"/>
    <w:sig w:usb0="00000000" w:usb1="00000000" w:usb2="00000000" w:usb3="00000000" w:csb0="00000093" w:csb1="00000000"/>
  </w:font>
  <w:font w:name="华文仿宋">
    <w:altName w:val="仿宋"/>
    <w:panose1 w:val="02010600040101010101"/>
    <w:charset w:val="86"/>
    <w:family w:val="auto"/>
    <w:pitch w:val="default"/>
    <w:sig w:usb0="00000000" w:usb1="00000000" w:usb2="00000010" w:usb3="00000000" w:csb0="0004009F" w:csb1="00000000"/>
  </w:font>
  <w:font w:name="??">
    <w:altName w:val="Times New Roman"/>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新宋体">
    <w:panose1 w:val="02010609030101010101"/>
    <w:charset w:val="86"/>
    <w:family w:val="auto"/>
    <w:pitch w:val="default"/>
    <w:sig w:usb0="00000003" w:usb1="288F0000" w:usb2="00000006"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 w:name="PingFangSC-Regular">
    <w:altName w:val="微软雅黑"/>
    <w:panose1 w:val="00000000000000000000"/>
    <w:charset w:val="00"/>
    <w:family w:val="auto"/>
    <w:pitch w:val="default"/>
    <w:sig w:usb0="00000000" w:usb1="00000000" w:usb2="00000000"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rPr>
        <w:rFonts w:ascii="宋体" w:hAnsi="宋体"/>
        <w:b/>
        <w:sz w:val="28"/>
        <w:szCs w:val="28"/>
      </w:rPr>
      <w:fldChar w:fldCharType="begin"/>
    </w:r>
    <w:r>
      <w:rPr>
        <w:rFonts w:ascii="宋体" w:hAnsi="宋体"/>
        <w:b/>
        <w:sz w:val="28"/>
        <w:szCs w:val="28"/>
      </w:rPr>
      <w:instrText xml:space="preserve"> PAGE   \* MERGEFORMAT </w:instrText>
    </w:r>
    <w:r>
      <w:rPr>
        <w:rFonts w:ascii="宋体" w:hAnsi="宋体"/>
        <w:b/>
        <w:sz w:val="28"/>
        <w:szCs w:val="28"/>
      </w:rPr>
      <w:fldChar w:fldCharType="separate"/>
    </w:r>
    <w:r>
      <w:rPr>
        <w:rFonts w:ascii="宋体"/>
        <w:b/>
        <w:sz w:val="28"/>
        <w:szCs w:val="28"/>
        <w:lang w:val="zh-CN"/>
      </w:rPr>
      <w:t>-</w:t>
    </w:r>
    <w:r>
      <w:rPr>
        <w:rFonts w:ascii="宋体" w:hAnsi="宋体"/>
        <w:b/>
        <w:sz w:val="28"/>
        <w:szCs w:val="28"/>
      </w:rPr>
      <w:t xml:space="preserve"> 7 -</w:t>
    </w:r>
    <w:r>
      <w:rPr>
        <w:rFonts w:ascii="宋体" w:hAnsi="宋体"/>
        <w:b/>
        <w:sz w:val="28"/>
        <w:szCs w:val="28"/>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CE4E2A"/>
    <w:multiLevelType w:val="singleLevel"/>
    <w:tmpl w:val="F6CE4E2A"/>
    <w:lvl w:ilvl="0" w:tentative="0">
      <w:start w:val="5"/>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6971EF"/>
    <w:rsid w:val="0DAB29FE"/>
    <w:rsid w:val="1115488D"/>
    <w:rsid w:val="1A162F91"/>
    <w:rsid w:val="23114452"/>
    <w:rsid w:val="24EF1D13"/>
    <w:rsid w:val="258673BB"/>
    <w:rsid w:val="35120C04"/>
    <w:rsid w:val="50AA2B27"/>
    <w:rsid w:val="586971EF"/>
    <w:rsid w:val="64CA40DA"/>
    <w:rsid w:val="653E3D1F"/>
    <w:rsid w:val="66236486"/>
    <w:rsid w:val="7D7A7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qFormat/>
    <w:uiPriority w:val="0"/>
    <w:pPr>
      <w:keepNext/>
      <w:keepLines/>
      <w:spacing w:before="260" w:after="260" w:line="416" w:lineRule="auto"/>
      <w:outlineLvl w:val="1"/>
    </w:pPr>
    <w:rPr>
      <w:rFonts w:ascii="Cambria" w:hAnsi="Cambria" w:eastAsia="宋体" w:cs="Cambria"/>
      <w:b/>
      <w:bCs/>
      <w:sz w:val="32"/>
      <w:szCs w:val="32"/>
    </w:rPr>
  </w:style>
  <w:style w:type="paragraph" w:styleId="4">
    <w:name w:val="heading 3"/>
    <w:basedOn w:val="1"/>
    <w:next w:val="1"/>
    <w:qFormat/>
    <w:uiPriority w:val="0"/>
    <w:pPr>
      <w:keepNext/>
      <w:keepLines/>
      <w:spacing w:before="260" w:after="260" w:line="416" w:lineRule="auto"/>
      <w:outlineLvl w:val="2"/>
    </w:pPr>
    <w:rPr>
      <w:rFonts w:eastAsia="宋体"/>
      <w:b/>
      <w:bCs/>
      <w:sz w:val="32"/>
      <w:szCs w:val="32"/>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5">
    <w:name w:val="toc 3"/>
    <w:basedOn w:val="1"/>
    <w:next w:val="1"/>
    <w:semiHidden/>
    <w:uiPriority w:val="0"/>
    <w:pPr>
      <w:ind w:left="420"/>
      <w:jc w:val="left"/>
    </w:pPr>
    <w:rPr>
      <w:rFonts w:eastAsia="宋体"/>
      <w:i/>
      <w:iCs/>
      <w:sz w:val="20"/>
      <w:szCs w:val="20"/>
    </w:rPr>
  </w:style>
  <w:style w:type="paragraph" w:styleId="6">
    <w:name w:val="footer"/>
    <w:basedOn w:val="1"/>
    <w:uiPriority w:val="99"/>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rFonts w:hint="eastAsia" w:ascii="微软雅黑" w:hAnsi="微软雅黑" w:eastAsia="微软雅黑" w:cs="微软雅黑"/>
      <w:b/>
    </w:rPr>
  </w:style>
  <w:style w:type="character" w:styleId="12">
    <w:name w:val="page number"/>
    <w:basedOn w:val="10"/>
    <w:qFormat/>
    <w:uiPriority w:val="0"/>
  </w:style>
  <w:style w:type="character" w:styleId="13">
    <w:name w:val="FollowedHyperlink"/>
    <w:basedOn w:val="10"/>
    <w:uiPriority w:val="0"/>
    <w:rPr>
      <w:rFonts w:hint="eastAsia" w:ascii="微软雅黑" w:hAnsi="微软雅黑" w:eastAsia="微软雅黑" w:cs="微软雅黑"/>
      <w:color w:val="4B4B4B"/>
      <w:sz w:val="19"/>
      <w:szCs w:val="19"/>
      <w:u w:val="none"/>
    </w:rPr>
  </w:style>
  <w:style w:type="character" w:styleId="14">
    <w:name w:val="Hyperlink"/>
    <w:basedOn w:val="10"/>
    <w:uiPriority w:val="0"/>
    <w:rPr>
      <w:rFonts w:hint="eastAsia" w:ascii="微软雅黑" w:hAnsi="微软雅黑" w:eastAsia="微软雅黑" w:cs="微软雅黑"/>
      <w:color w:val="4B4B4B"/>
      <w:sz w:val="19"/>
      <w:szCs w:val="19"/>
      <w:u w:val="none"/>
    </w:rPr>
  </w:style>
  <w:style w:type="character" w:customStyle="1" w:styleId="15">
    <w:name w:val="subnewstitle"/>
    <w:basedOn w:val="10"/>
    <w:uiPriority w:val="0"/>
    <w:rPr>
      <w:bdr w:val="none" w:color="auto" w:sz="0" w:space="0"/>
    </w:rPr>
  </w:style>
  <w:style w:type="character" w:customStyle="1" w:styleId="16">
    <w:name w:val="subnewstitle1"/>
    <w:basedOn w:val="10"/>
    <w:uiPriority w:val="0"/>
    <w:rPr>
      <w:bdr w:val="none" w:color="auto" w:sz="0" w:space="0"/>
    </w:rPr>
  </w:style>
  <w:style w:type="character" w:customStyle="1" w:styleId="17">
    <w:name w:val="subwxnewstitle"/>
    <w:basedOn w:val="10"/>
    <w:uiPriority w:val="0"/>
    <w:rPr>
      <w:bdr w:val="none" w:color="auto" w:sz="0" w:space="0"/>
    </w:rPr>
  </w:style>
  <w:style w:type="character" w:customStyle="1" w:styleId="18">
    <w:name w:val="subhotnewstitle"/>
    <w:basedOn w:val="10"/>
    <w:uiPriority w:val="0"/>
    <w:rPr>
      <w:bdr w:val="none" w:color="auto" w:sz="0" w:space="0"/>
    </w:rPr>
  </w:style>
  <w:style w:type="character" w:customStyle="1" w:styleId="19">
    <w:name w:val="subhotnewstitle1"/>
    <w:basedOn w:val="10"/>
    <w:uiPriority w:val="0"/>
    <w:rPr>
      <w:bdr w:val="none" w:color="auto" w:sz="0" w:space="0"/>
    </w:rPr>
  </w:style>
  <w:style w:type="character" w:customStyle="1" w:styleId="20">
    <w:name w:val="subtjnewstitle"/>
    <w:basedOn w:val="10"/>
    <w:uiPriority w:val="0"/>
    <w:rPr>
      <w:bdr w:val="none" w:color="auto" w:sz="0" w:space="0"/>
    </w:rPr>
  </w:style>
  <w:style w:type="character" w:customStyle="1" w:styleId="21">
    <w:name w:val="bsharetext"/>
    <w:basedOn w:val="10"/>
    <w:uiPriority w:val="0"/>
  </w:style>
  <w:style w:type="paragraph" w:customStyle="1" w:styleId="22">
    <w:name w:val="标题4"/>
    <w:basedOn w:val="4"/>
    <w:uiPriority w:val="0"/>
    <w:pPr>
      <w:ind w:firstLine="630" w:firstLineChars="196"/>
    </w:pPr>
    <w:rPr>
      <w:rFonts w:ascii="黑体" w:hAnsi="黑体" w:eastAsia="黑体" w:cs="黑体"/>
    </w:rPr>
  </w:style>
  <w:style w:type="paragraph" w:customStyle="1" w:styleId="23">
    <w:name w:val="p0"/>
    <w:basedOn w:val="1"/>
    <w:uiPriority w:val="0"/>
    <w:pPr>
      <w:widowControl/>
      <w:spacing w:before="100" w:beforeAutospacing="1" w:after="100" w:afterAutospacing="1"/>
      <w:jc w:val="left"/>
    </w:pPr>
    <w:rPr>
      <w:rFonts w:eastAsia="宋体"/>
      <w:kern w:val="0"/>
      <w:sz w:val="24"/>
      <w:szCs w:val="24"/>
    </w:rPr>
  </w:style>
  <w:style w:type="paragraph" w:customStyle="1" w:styleId="24">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2009-06-30T16:13:00Z</dcterms:created>
  <dc:creator>Administrator</dc:creator>
  <cp:lastModifiedBy>Administrator</cp:lastModifiedBy>
  <dcterms:modified xsi:type="dcterms:W3CDTF">2009-06-30T18:22:51Z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