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附件1：</w:t>
      </w:r>
    </w:p>
    <w:p>
      <w:r>
        <w:t>2021年嘉善县教育局选聘高层次人才（第二批）岗位需求</w:t>
      </w:r>
    </w:p>
    <w:p/>
    <w:p>
      <w:r>
        <w:t>1.普通高中:13人</w:t>
      </w:r>
    </w:p>
    <w:tbl>
      <w:tblPr>
        <w:tblW w:w="8535" w:type="dxa"/>
        <w:tblInd w:w="90" w:type="dxa"/>
        <w:shd w:val="clear"/>
        <w:tblLayout w:type="autofit"/>
        <w:tblCellMar>
          <w:top w:w="15" w:type="dxa"/>
          <w:left w:w="15" w:type="dxa"/>
          <w:bottom w:w="15" w:type="dxa"/>
          <w:right w:w="15" w:type="dxa"/>
        </w:tblCellMar>
      </w:tblPr>
      <w:tblGrid>
        <w:gridCol w:w="2182"/>
        <w:gridCol w:w="673"/>
        <w:gridCol w:w="673"/>
        <w:gridCol w:w="673"/>
        <w:gridCol w:w="673"/>
        <w:gridCol w:w="628"/>
        <w:gridCol w:w="747"/>
        <w:gridCol w:w="717"/>
        <w:gridCol w:w="732"/>
        <w:gridCol w:w="837"/>
      </w:tblGrid>
      <w:tr>
        <w:tblPrEx>
          <w:tblCellMar>
            <w:top w:w="15" w:type="dxa"/>
            <w:left w:w="15" w:type="dxa"/>
            <w:bottom w:w="15" w:type="dxa"/>
            <w:right w:w="15" w:type="dxa"/>
          </w:tblCellMar>
        </w:tblPrEx>
        <w:trPr>
          <w:trHeight w:val="1200" w:hRule="atLeast"/>
        </w:trPr>
        <w:tc>
          <w:tcPr>
            <w:tcW w:w="219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r>
              <w:t>学科</w:t>
            </w:r>
          </w:p>
          <w:p/>
          <w:p>
            <w:r>
              <w:t>学校                </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语文</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数学</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英语</w:t>
            </w:r>
          </w:p>
        </w:tc>
        <w:tc>
          <w:tcPr>
            <w:tcW w:w="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物理</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政治</w:t>
            </w:r>
          </w:p>
        </w:tc>
        <w:tc>
          <w:tcPr>
            <w:tcW w:w="750" w:type="dxa"/>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r>
              <w:t>历史</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地理</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信息技术</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合计</w:t>
            </w:r>
          </w:p>
        </w:tc>
      </w:tr>
      <w:tr>
        <w:tblPrEx>
          <w:tblCellMar>
            <w:top w:w="15" w:type="dxa"/>
            <w:left w:w="15" w:type="dxa"/>
            <w:bottom w:w="15" w:type="dxa"/>
            <w:right w:w="15" w:type="dxa"/>
          </w:tblCellMar>
        </w:tblPrEx>
        <w:trPr>
          <w:trHeight w:val="600" w:hRule="atLeast"/>
        </w:trPr>
        <w:tc>
          <w:tcPr>
            <w:tcW w:w="219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嘉善高级中学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7</w:t>
            </w:r>
          </w:p>
        </w:tc>
      </w:tr>
      <w:tr>
        <w:tblPrEx>
          <w:tblCellMar>
            <w:top w:w="15" w:type="dxa"/>
            <w:left w:w="15" w:type="dxa"/>
            <w:bottom w:w="15" w:type="dxa"/>
            <w:right w:w="15" w:type="dxa"/>
          </w:tblCellMar>
        </w:tblPrEx>
        <w:trPr>
          <w:trHeight w:val="600" w:hRule="atLeast"/>
        </w:trPr>
        <w:tc>
          <w:tcPr>
            <w:tcW w:w="219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嘉善第二高级中学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r>
      <w:tr>
        <w:tblPrEx>
          <w:tblCellMar>
            <w:top w:w="15" w:type="dxa"/>
            <w:left w:w="15" w:type="dxa"/>
            <w:bottom w:w="15" w:type="dxa"/>
            <w:right w:w="15" w:type="dxa"/>
          </w:tblCellMar>
        </w:tblPrEx>
        <w:trPr>
          <w:trHeight w:val="600" w:hRule="atLeast"/>
        </w:trPr>
        <w:tc>
          <w:tcPr>
            <w:tcW w:w="219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浙江省嘉善中学</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4</w:t>
            </w:r>
          </w:p>
        </w:tc>
      </w:tr>
    </w:tbl>
    <w:p/>
    <w:p>
      <w:r>
        <w:t>2.中职学校：7人</w:t>
      </w:r>
    </w:p>
    <w:tbl>
      <w:tblPr>
        <w:tblW w:w="6960" w:type="dxa"/>
        <w:tblInd w:w="90" w:type="dxa"/>
        <w:shd w:val="clear"/>
        <w:tblLayout w:type="autofit"/>
        <w:tblCellMar>
          <w:top w:w="15" w:type="dxa"/>
          <w:left w:w="15" w:type="dxa"/>
          <w:bottom w:w="15" w:type="dxa"/>
          <w:right w:w="15" w:type="dxa"/>
        </w:tblCellMar>
      </w:tblPr>
      <w:tblGrid>
        <w:gridCol w:w="2280"/>
        <w:gridCol w:w="990"/>
        <w:gridCol w:w="855"/>
        <w:gridCol w:w="900"/>
        <w:gridCol w:w="795"/>
        <w:gridCol w:w="1140"/>
      </w:tblGrid>
      <w:tr>
        <w:tblPrEx>
          <w:shd w:val="clear"/>
          <w:tblCellMar>
            <w:top w:w="15" w:type="dxa"/>
            <w:left w:w="15" w:type="dxa"/>
            <w:bottom w:w="15" w:type="dxa"/>
            <w:right w:w="15" w:type="dxa"/>
          </w:tblCellMar>
        </w:tblPrEx>
        <w:trPr>
          <w:trHeight w:val="1185" w:hRule="atLeast"/>
        </w:trPr>
        <w:tc>
          <w:tcPr>
            <w:tcW w:w="228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r>
              <w:t>学科</w:t>
            </w:r>
          </w:p>
          <w:p/>
          <w:p>
            <w:r>
              <w:t>学校              </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语文</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数学</w:t>
            </w:r>
          </w:p>
        </w:tc>
        <w:tc>
          <w:tcPr>
            <w:tcW w:w="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英语</w:t>
            </w:r>
          </w:p>
        </w:tc>
        <w:tc>
          <w:tcPr>
            <w:tcW w:w="7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计算机</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合计</w:t>
            </w:r>
          </w:p>
        </w:tc>
      </w:tr>
      <w:tr>
        <w:tblPrEx>
          <w:tblCellMar>
            <w:top w:w="15" w:type="dxa"/>
            <w:left w:w="15" w:type="dxa"/>
            <w:bottom w:w="15" w:type="dxa"/>
            <w:right w:w="15" w:type="dxa"/>
          </w:tblCellMar>
        </w:tblPrEx>
        <w:trPr>
          <w:trHeight w:val="585" w:hRule="atLeast"/>
        </w:trPr>
        <w:tc>
          <w:tcPr>
            <w:tcW w:w="228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嘉善县中等专业学校　　　　　　　　　　</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r>
      <w:tr>
        <w:tblPrEx>
          <w:tblCellMar>
            <w:top w:w="15" w:type="dxa"/>
            <w:left w:w="15" w:type="dxa"/>
            <w:bottom w:w="15" w:type="dxa"/>
            <w:right w:w="15" w:type="dxa"/>
          </w:tblCellMar>
        </w:tblPrEx>
        <w:trPr>
          <w:trHeight w:val="585" w:hRule="atLeast"/>
        </w:trPr>
        <w:tc>
          <w:tcPr>
            <w:tcW w:w="228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嘉善信息技术工程学校</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4</w:t>
            </w:r>
          </w:p>
        </w:tc>
      </w:tr>
    </w:tbl>
    <w:p/>
    <w:p>
      <w:r>
        <w:t>3.初中：9人</w:t>
      </w:r>
    </w:p>
    <w:tbl>
      <w:tblPr>
        <w:tblW w:w="7560" w:type="dxa"/>
        <w:tblInd w:w="90" w:type="dxa"/>
        <w:shd w:val="clear"/>
        <w:tblLayout w:type="autofit"/>
        <w:tblCellMar>
          <w:top w:w="15" w:type="dxa"/>
          <w:left w:w="15" w:type="dxa"/>
          <w:bottom w:w="15" w:type="dxa"/>
          <w:right w:w="15" w:type="dxa"/>
        </w:tblCellMar>
      </w:tblPr>
      <w:tblGrid>
        <w:gridCol w:w="2435"/>
        <w:gridCol w:w="706"/>
        <w:gridCol w:w="706"/>
        <w:gridCol w:w="706"/>
        <w:gridCol w:w="706"/>
        <w:gridCol w:w="706"/>
        <w:gridCol w:w="737"/>
        <w:gridCol w:w="858"/>
      </w:tblGrid>
      <w:tr>
        <w:tblPrEx>
          <w:tblCellMar>
            <w:top w:w="15" w:type="dxa"/>
            <w:left w:w="15" w:type="dxa"/>
            <w:bottom w:w="15" w:type="dxa"/>
            <w:right w:w="15" w:type="dxa"/>
          </w:tblCellMar>
        </w:tblPrEx>
        <w:trPr>
          <w:trHeight w:val="1185" w:hRule="atLeast"/>
        </w:trPr>
        <w:tc>
          <w:tcPr>
            <w:tcW w:w="243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r>
              <w:t>学科</w:t>
            </w:r>
          </w:p>
          <w:p/>
          <w:p>
            <w:r>
              <w:t>选聘学校              </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语文</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数学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英语</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科学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社政</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心理健康</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合计</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浙江省嘉善县第一中学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浙江省嘉善县第四中学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嘉善县泗洲中学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嘉善县实验中学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r>
    </w:tbl>
    <w:p/>
    <w:p>
      <w:r>
        <w:t>4.小学：21人</w:t>
      </w:r>
    </w:p>
    <w:tbl>
      <w:tblPr>
        <w:tblW w:w="6825" w:type="dxa"/>
        <w:tblInd w:w="90" w:type="dxa"/>
        <w:shd w:val="clear"/>
        <w:tblLayout w:type="autofit"/>
        <w:tblCellMar>
          <w:top w:w="15" w:type="dxa"/>
          <w:left w:w="15" w:type="dxa"/>
          <w:bottom w:w="15" w:type="dxa"/>
          <w:right w:w="15" w:type="dxa"/>
        </w:tblCellMar>
      </w:tblPr>
      <w:tblGrid>
        <w:gridCol w:w="2434"/>
        <w:gridCol w:w="706"/>
        <w:gridCol w:w="707"/>
        <w:gridCol w:w="707"/>
        <w:gridCol w:w="707"/>
        <w:gridCol w:w="707"/>
        <w:gridCol w:w="857"/>
      </w:tblGrid>
      <w:tr>
        <w:tblPrEx>
          <w:shd w:val="clear"/>
          <w:tblCellMar>
            <w:top w:w="15" w:type="dxa"/>
            <w:left w:w="15" w:type="dxa"/>
            <w:bottom w:w="15" w:type="dxa"/>
            <w:right w:w="15" w:type="dxa"/>
          </w:tblCellMar>
        </w:tblPrEx>
        <w:trPr>
          <w:trHeight w:val="1185" w:hRule="atLeast"/>
        </w:trPr>
        <w:tc>
          <w:tcPr>
            <w:tcW w:w="24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学科       </w:t>
            </w:r>
          </w:p>
          <w:p>
            <w:r>
              <w:t>学校      </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语文</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数学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英语</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科学</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信息技术</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合计</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浙江师范大学附属嘉善实验学校</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r>
              <w:t>嘉善县实验小学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嘉善县第二实验小学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4</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嘉善县吴镇教育集团吴镇小学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3</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嘉善县吴镇教育集团泗洲小学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嘉善县吴镇教育集团硕士小学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嘉善县杜鹃小学</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4</w:t>
            </w:r>
          </w:p>
        </w:tc>
      </w:tr>
    </w:tbl>
    <w:p/>
    <w:p/>
    <w:p>
      <w:r>
        <w:t>附件2：</w:t>
      </w:r>
    </w:p>
    <w:p>
      <w:r>
        <w:t>2021年嘉善县教育系统高层次人才招聘报名信息表</w:t>
      </w:r>
    </w:p>
    <w:tbl>
      <w:tblPr>
        <w:tblW w:w="9570"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77"/>
        <w:gridCol w:w="763"/>
        <w:gridCol w:w="778"/>
        <w:gridCol w:w="764"/>
        <w:gridCol w:w="719"/>
        <w:gridCol w:w="674"/>
        <w:gridCol w:w="15"/>
        <w:gridCol w:w="1243"/>
        <w:gridCol w:w="240"/>
        <w:gridCol w:w="704"/>
        <w:gridCol w:w="15"/>
        <w:gridCol w:w="359"/>
        <w:gridCol w:w="285"/>
        <w:gridCol w:w="75"/>
        <w:gridCol w:w="360"/>
        <w:gridCol w:w="285"/>
        <w:gridCol w:w="9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5" w:hRule="atLeast"/>
        </w:trPr>
        <w:tc>
          <w:tcPr>
            <w:tcW w:w="138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应聘岗位</w:t>
            </w:r>
          </w:p>
        </w:tc>
        <w:tc>
          <w:tcPr>
            <w:tcW w:w="2310" w:type="dxa"/>
            <w:gridSpan w:val="3"/>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tc>
        <w:tc>
          <w:tcPr>
            <w:tcW w:w="1395"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岗位代码</w:t>
            </w:r>
          </w:p>
        </w:tc>
        <w:tc>
          <w:tcPr>
            <w:tcW w:w="2190" w:type="dxa"/>
            <w:gridSpan w:val="4"/>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tc>
        <w:tc>
          <w:tcPr>
            <w:tcW w:w="2280" w:type="dxa"/>
            <w:gridSpan w:val="7"/>
            <w:vMerge w:val="restart"/>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身份证号</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姓名</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2280" w:type="dxa"/>
            <w:gridSpan w:val="7"/>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政治面貌</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民族</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2280" w:type="dxa"/>
            <w:gridSpan w:val="7"/>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学历</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学位</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2280" w:type="dxa"/>
            <w:gridSpan w:val="7"/>
            <w:vMerge w:val="continue"/>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性别</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户籍地</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09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r>
              <w:t>生源地</w:t>
            </w:r>
          </w:p>
        </w:tc>
        <w:tc>
          <w:tcPr>
            <w:tcW w:w="1200"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毕业院校</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毕业时间</w:t>
            </w:r>
          </w:p>
        </w:tc>
        <w:tc>
          <w:tcPr>
            <w:tcW w:w="219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09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r>
              <w:t>所学专业</w:t>
            </w:r>
          </w:p>
        </w:tc>
        <w:tc>
          <w:tcPr>
            <w:tcW w:w="120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联系电话</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邮箱</w:t>
            </w:r>
          </w:p>
        </w:tc>
        <w:tc>
          <w:tcPr>
            <w:tcW w:w="4470" w:type="dxa"/>
            <w:gridSpan w:val="10"/>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是否师范类</w:t>
            </w:r>
          </w:p>
        </w:tc>
        <w:tc>
          <w:tcPr>
            <w:tcW w:w="23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教师资格种类</w:t>
            </w:r>
          </w:p>
        </w:tc>
        <w:tc>
          <w:tcPr>
            <w:tcW w:w="12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605" w:type="dxa"/>
            <w:gridSpan w:val="5"/>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教师资格取得时间</w:t>
            </w:r>
          </w:p>
        </w:tc>
        <w:tc>
          <w:tcPr>
            <w:tcW w:w="1605" w:type="dxa"/>
            <w:gridSpan w:val="4"/>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通讯地址</w:t>
            </w:r>
          </w:p>
        </w:tc>
        <w:tc>
          <w:tcPr>
            <w:tcW w:w="8190" w:type="dxa"/>
            <w:gridSpan w:val="16"/>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38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学习经历</w:t>
            </w: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学历</w:t>
            </w:r>
          </w:p>
        </w:tc>
        <w:tc>
          <w:tcPr>
            <w:tcW w:w="76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学习开始时间</w:t>
            </w:r>
          </w:p>
        </w:tc>
        <w:tc>
          <w:tcPr>
            <w:tcW w:w="76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学习结束时间</w:t>
            </w:r>
          </w:p>
        </w:tc>
        <w:tc>
          <w:tcPr>
            <w:tcW w:w="1410" w:type="dxa"/>
            <w:gridSpan w:val="3"/>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学校</w:t>
            </w:r>
          </w:p>
        </w:tc>
        <w:tc>
          <w:tcPr>
            <w:tcW w:w="1485"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所学专业</w:t>
            </w:r>
          </w:p>
        </w:tc>
        <w:tc>
          <w:tcPr>
            <w:tcW w:w="720"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是否</w:t>
            </w:r>
          </w:p>
          <w:p>
            <w:r>
              <w:t>全日制</w:t>
            </w:r>
          </w:p>
        </w:tc>
        <w:tc>
          <w:tcPr>
            <w:tcW w:w="720" w:type="dxa"/>
            <w:gridSpan w:val="3"/>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是否</w:t>
            </w:r>
          </w:p>
          <w:p>
            <w:r>
              <w:t>师范类</w:t>
            </w:r>
          </w:p>
        </w:tc>
        <w:tc>
          <w:tcPr>
            <w:tcW w:w="645" w:type="dxa"/>
            <w:gridSpan w:val="2"/>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本科</w:t>
            </w:r>
          </w:p>
          <w:p>
            <w:r>
              <w:t>是否</w:t>
            </w:r>
          </w:p>
          <w:p>
            <w:r>
              <w:t>一本</w:t>
            </w:r>
          </w:p>
        </w:tc>
        <w:tc>
          <w:tcPr>
            <w:tcW w:w="90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r>
              <w:t>是否</w:t>
            </w:r>
          </w:p>
          <w:p>
            <w:r>
              <w:t>双一流</w:t>
            </w:r>
          </w:p>
          <w:p>
            <w:r>
              <w:t>高校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初中</w:t>
            </w: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r>
              <w:t>高中</w:t>
            </w: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6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1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720" w:type="dxa"/>
            <w:gridSpan w:val="3"/>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6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90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38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工作经历</w:t>
            </w: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开始时间</w:t>
            </w: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结束时间</w:t>
            </w:r>
          </w:p>
        </w:tc>
        <w:tc>
          <w:tcPr>
            <w:tcW w:w="3255" w:type="dxa"/>
            <w:gridSpan w:val="7"/>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工作单位</w:t>
            </w:r>
          </w:p>
        </w:tc>
        <w:tc>
          <w:tcPr>
            <w:tcW w:w="190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r>
              <w:t>所任职务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3255" w:type="dxa"/>
            <w:gridSpan w:val="7"/>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90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rPr>
            </w:pP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3255" w:type="dxa"/>
            <w:gridSpan w:val="7"/>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905" w:type="dxa"/>
            <w:gridSpan w:val="5"/>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trPr>
        <w:tc>
          <w:tcPr>
            <w:tcW w:w="138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r>
              <w:t>审核人</w:t>
            </w:r>
          </w:p>
        </w:tc>
        <w:tc>
          <w:tcPr>
            <w:tcW w:w="154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c>
          <w:tcPr>
            <w:tcW w:w="14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r>
              <w:t>审核意见</w:t>
            </w:r>
          </w:p>
          <w:p>
            <w:r>
              <w:t>单位盖章</w:t>
            </w:r>
          </w:p>
        </w:tc>
        <w:tc>
          <w:tcPr>
            <w:tcW w:w="5160" w:type="dxa"/>
            <w:gridSpan w:val="12"/>
            <w:tcBorders>
              <w:top w:val="nil"/>
              <w:left w:val="nil"/>
              <w:bottom w:val="single" w:color="000000" w:sz="6" w:space="0"/>
              <w:right w:val="single" w:color="000000" w:sz="6" w:space="0"/>
            </w:tcBorders>
            <w:shd w:val="clear"/>
            <w:tcMar>
              <w:top w:w="0" w:type="dxa"/>
              <w:left w:w="0" w:type="dxa"/>
              <w:bottom w:w="0" w:type="dxa"/>
              <w:right w:w="0" w:type="dxa"/>
            </w:tcMar>
            <w:vAlign w:val="center"/>
          </w:tcPr>
          <w:p/>
        </w:tc>
      </w:tr>
    </w:tbl>
    <w:p/>
    <w:p/>
    <w:p>
      <w:r>
        <w:t>附件3：</w:t>
      </w:r>
    </w:p>
    <w:p>
      <w:r>
        <w:t>嘉善县“文教卫紧缺专业技术人才住房券”</w:t>
      </w:r>
    </w:p>
    <w:p>
      <w:r>
        <w:t>管理和使用暂行办法</w:t>
      </w:r>
    </w:p>
    <w:p/>
    <w:p>
      <w:r>
        <w:t>第一章 总则</w:t>
      </w:r>
    </w:p>
    <w:p>
      <w: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r>
        <w:t>第二条 “文教卫紧缺专业技术人才住房券”（以下简称“文教卫人才住房券”）可兑现面值等额的购房款，既适用于购买的商品住房，也适用于购买的人才福利房。购买人才福利房的，还可享受最大面积内8折优惠。</w:t>
      </w:r>
    </w:p>
    <w:p>
      <w:r>
        <w:t>第三条 “文教卫人才住房券”的兑现仅限于2019年1月1日以后首次在嘉善县购置的房产。</w:t>
      </w:r>
    </w:p>
    <w:p/>
    <w:p>
      <w:r>
        <w:t>第二章 发放对象及基本条件</w:t>
      </w:r>
    </w:p>
    <w:p>
      <w:r>
        <w:t>第四条 发放对象</w:t>
      </w:r>
    </w:p>
    <w:p>
      <w:r>
        <w:t>在我县文化系统群众文化、文物博物、工艺美术、体育教练、图书资料、艺术岗位，县属教育系统教学岗位，卫生系统医、药、护、技等卫生专业技术岗位，全职工作且符合发放对象目录的专业技术人才（定向培养生除外）。</w:t>
      </w:r>
    </w:p>
    <w:p>
      <w:r>
        <w:t>第五条 基本条件</w:t>
      </w:r>
    </w:p>
    <w:p>
      <w:r>
        <w:t>申请“文教卫人才住房券”的人才应同时具备以下三个基本条件：</w:t>
      </w:r>
    </w:p>
    <w:p>
      <w:r>
        <w:t>（一）2019年1月1日以后新引进或招录的紧缺专业技术人才，文化、教育、卫生系统以正式签订事业单位聘用合同日期为准；</w:t>
      </w:r>
    </w:p>
    <w:p>
      <w:r>
        <w:t>（二）新引进或招录后持续从事相关专业技术工作，且被聘任为相对应级别专业技术职务；</w:t>
      </w:r>
    </w:p>
    <w:p>
      <w:r>
        <w:t>（三）在我县按时连续缴纳社会保险达到相应年份。</w:t>
      </w:r>
    </w:p>
    <w:p/>
    <w:p>
      <w:r>
        <w:t>第三章 申领标准</w:t>
      </w:r>
    </w:p>
    <w:p>
      <w:r>
        <w:t>第六条10类人才的申领标准</w:t>
      </w:r>
    </w:p>
    <w:p>
      <w:r>
        <w:t>（一）国家级高端人才：缴纳社会保险满1年，可申领“文教卫人才住房券”面值100万元。购买人才福利房可享受优惠的最大面积为120平方米。</w:t>
      </w:r>
    </w:p>
    <w:p>
      <w:r>
        <w:t>（二）省级高端人才：缴纳社会保险满1年，可申领“文教卫人才住房券”面值80万元。购买人才福利房可享受优惠的最大面积为120平方米。</w:t>
      </w:r>
    </w:p>
    <w:p>
      <w:r>
        <w:t>（三）市级高端人才：缴纳社会保险满1年，可申领“文教卫人才住房券”面值60万元。购买人才福利房可享受优惠的最大面积为120平方米。</w:t>
      </w:r>
    </w:p>
    <w:p>
      <w:r>
        <w:t>（四）高级人才：缴纳社会保险满1年，可申领“文教卫人才住房券”面值35万元。购买人才福利房可享受优惠的最大面积为120平方米。</w:t>
      </w:r>
    </w:p>
    <w:p>
      <w:r>
        <w:t>（五）正高级职称人才：缴纳社会保险满1年，可申领“文教卫人才住房券”面值35万元。购买人才福利房可享受优惠的最大面积为120平方米。</w:t>
      </w:r>
    </w:p>
    <w:p>
      <w:r>
        <w:t>（六）副高级职称人才：缴纳社会保险满1年，可申领“文教卫人才住房券”面值30万元。购买人才福利房可享受优惠的最大面积为120平方米。</w:t>
      </w:r>
    </w:p>
    <w:p>
      <w:r>
        <w:t>（七）全日制博士研究生：缴纳社会保险满1年，可申领“文教卫人才住房券”面值30万元。购买人才福利房可享受优惠的最大面积为120平方米。</w:t>
      </w:r>
    </w:p>
    <w:p>
      <w:r>
        <w:t>（八）全日制硕士研究生（教育系统另含部分“一流大学建设高校”全日制文理类本科）：缴纳社会保险满2年，可申领“文教卫人才住房券”面值25万元。购买人才福利房可享受优惠的最大面积为100平方米。</w:t>
      </w:r>
    </w:p>
    <w:p>
      <w:r>
        <w:t>（九）“一流大学建设高校”全日制本科（教育系统为其他“一流大学建设高校”全日制文理类本科）：缴纳社会保险满3年，可申领“文教卫人才住房券”面值15万元。购买人才福利房可享受优惠的最大面积为80平方米。</w:t>
      </w:r>
    </w:p>
    <w:p>
      <w: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
      <w:r>
        <w:t>第四章 发放和兑现程序</w:t>
      </w:r>
    </w:p>
    <w:p>
      <w:r>
        <w:t>第七条 提交申请</w:t>
      </w:r>
    </w:p>
    <w:p>
      <w: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r>
        <w:t>（一）个人申请表；</w:t>
      </w:r>
    </w:p>
    <w:p>
      <w:r>
        <w:t>（二）申请人身份证件原件及复印件；</w:t>
      </w:r>
    </w:p>
    <w:p>
      <w: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r>
        <w:t>（四）事业单位聘用合同原件及复印件；</w:t>
      </w:r>
    </w:p>
    <w:p>
      <w:r>
        <w:t>（五）教育专业技术人才提供教师资格证书原件及复印件，卫生专业技术人才提供相关资格证书原件及复印件；</w:t>
      </w:r>
    </w:p>
    <w:p>
      <w:r>
        <w:t>（六）高级职称人才提供相应的职称证书原件及复印件；</w:t>
      </w:r>
    </w:p>
    <w:p>
      <w:r>
        <w:t>（七）高级以上人才提供相应层次的证明材料原件及复印件；</w:t>
      </w:r>
    </w:p>
    <w:p>
      <w:r>
        <w:t>（八）夫妻双方都符合申领标准的，提供结婚证原件及复印件。</w:t>
      </w:r>
    </w:p>
    <w:p>
      <w:r>
        <w:t>申领“文教卫人才住房券”涉及的个人住房状况经申请人授权后由县建设局、县自然资源规划局代为查询，参保信息、岗位聘任情况经申请人授权后由县人力社保局代为查询。</w:t>
      </w:r>
    </w:p>
    <w:p>
      <w:r>
        <w:t>第八条 审核发放</w:t>
      </w:r>
    </w:p>
    <w:p>
      <w:r>
        <w:t>县人力社保局逐一核查申请人材料，经确认后，集中向社会公示5个工作日。公示无异议后，按照人才类别选择相应“文教卫人才住房券”进行编号登记。“文教卫人才住房券”由主管部门统一领取后发放至申请人。</w:t>
      </w:r>
    </w:p>
    <w:p>
      <w:r>
        <w:t>第九条 兑现方式</w:t>
      </w:r>
    </w:p>
    <w:p>
      <w:r>
        <w:t>申请人购房后，申请人统一于每季度首月的1-15日，持购房全款发票、不动产权证(或购房合同)、“文教卫人才住房券”向县人力社保局申请兑现，申请兑现时申请人必须全职在嘉善工作。经核查无误的，分次逐年兑现。</w:t>
      </w:r>
    </w:p>
    <w:p>
      <w:r>
        <w:t>（一）按照“文教卫人才住房券”面值金额4:3:3的比例，分三年兑现到位，直接汇入申请人个人账户；</w:t>
      </w:r>
    </w:p>
    <w:p>
      <w:r>
        <w:t>（二）购买人才福利房的，20%的优惠部分，按照4:3:3比例分三年兑现到位，直接汇入申请人个人账户；</w:t>
      </w:r>
    </w:p>
    <w:p>
      <w:r>
        <w:t>（三）兑现额度不得超过购房发票金额，已领取租房补贴的，在兑现第一笔购房补贴金额时扣除相应额度资金；</w:t>
      </w:r>
    </w:p>
    <w:p>
      <w:r>
        <w:t>（四）已部分或全部兑现“文教卫人才住房券”的，不再变更申请额度。</w:t>
      </w:r>
    </w:p>
    <w:p/>
    <w:p>
      <w:r>
        <w:t>第五章 使用要求</w:t>
      </w:r>
    </w:p>
    <w:p>
      <w:r>
        <w:t>第十条 “文教卫人才住房券”实行实名制管理，仅限申请人本人使用，且房屋所有权须为申请人一人或与配偶、子女、父母共同所有。</w:t>
      </w:r>
    </w:p>
    <w:p>
      <w:r>
        <w:t>第十一条 申请人调离“第四条 发放对象”所列专业技术岗位的，申领的“文教卫人才住房券”即行失效。</w:t>
      </w:r>
    </w:p>
    <w:p>
      <w:r>
        <w:t>第十二条 “文教卫人才住房券”有效期为5年，期满后未购房的，不可重新申请。</w:t>
      </w:r>
    </w:p>
    <w:p>
      <w:r>
        <w:t>第十三条 主管部门和申请人须对申请材料的真实性负责。在不定期抽查中，如有弄虚作假、骗取“文教卫人才住房券”的，一经查实即取消该申请人的申领资格，追回相应资金，并追究相关当事人责任。</w:t>
      </w:r>
    </w:p>
    <w:p/>
    <w:p>
      <w:r>
        <w:t>第六章 附则</w:t>
      </w:r>
    </w:p>
    <w:p>
      <w:r>
        <w:t>第十四条 相关说明</w:t>
      </w:r>
    </w:p>
    <w:p>
      <w:r>
        <w:t>（一）人才福利房：政府适时从持有的人才公寓中安排一定数量的房源作为人才福利房,面向人才出售。房源不足时，采用积分制形式进行人员排序，排序靠前者优先选房(积分相同者抽签决定)；</w:t>
      </w:r>
    </w:p>
    <w:p>
      <w:r>
        <w:t>（二）“双一流高校”、“一流大学建设高校”：《关于公布世界一流大学和一流学科建设高校及建设学科名单的通知》（教研函〔2017〕2号）中明确的高校；</w:t>
      </w:r>
    </w:p>
    <w:p>
      <w:r>
        <w:t>（三）在浙江省外取得高级职称的人员须办理调入审定；具有副高及以上专业技术资格的人员，在已实施自主评聘的单位，自引进之日起一年内须经评聘（审）会确认被聘任为相对应级别专业技术职务；</w:t>
      </w:r>
    </w:p>
    <w:p>
      <w: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r>
        <w:t>第十五条 夫妻双方都符合“文教卫人才住房券”申领标准的，各自为申请主体，购买人才福利房可享受优惠的最大面积就高计算，“文教卫人才住房券”面值可叠加使用。</w:t>
      </w:r>
    </w:p>
    <w:p>
      <w:r>
        <w:t>夫妻双方分别符合“文教卫人才住房券”与“企业人才住房券”申领标准的，各自为申请主体，购买人才福利房可享受优惠的最大面积就高计算，两类“人才住房券”面值可叠加使用。</w:t>
      </w:r>
    </w:p>
    <w:p>
      <w: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r>
        <w:t>第十八条2019年1月1日以后整体引进的文教卫人才团队中有3人及以上符合“文教卫人才住房券”申领条件的，可采取“一事一议”的方式，提供更加及时、高效、便捷的服务。</w:t>
      </w:r>
    </w:p>
    <w:p>
      <w: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r>
        <w:t>第二十条 申领和兑现“文教卫人才住房券”，以引进时的人才类别为准，“一事一议”的除外。</w:t>
      </w:r>
    </w:p>
    <w:p>
      <w:r>
        <w:t>第二十一条 “文教卫人才住房券”制度由县委人才办牵头，县人力社保局、县财政局、县文化旅游体育局、县教育局、县卫生健康局等部门联合组织实施。县人力社保局具体负责“文教卫人才住房券”的发放和管理。</w:t>
      </w:r>
    </w:p>
    <w:p>
      <w:r>
        <w:t>第二十二条 本办法自2019年8月1日起施行。</w:t>
      </w:r>
    </w:p>
    <w:p/>
    <w:p>
      <w:r>
        <w:t>教育系统发放对象目录</w:t>
      </w:r>
    </w:p>
    <w:p/>
    <w:p>
      <w:r>
        <w:t>一、国家级高端人才：</w:t>
      </w:r>
    </w:p>
    <w:p>
      <w:r>
        <w:t>1.国家级教学名师；</w:t>
      </w:r>
    </w:p>
    <w:p>
      <w:r>
        <w:t>2.国家“万人计划”领军人才（教学名师领军人才）、国家“万人计划”青年拔尖人才。</w:t>
      </w:r>
    </w:p>
    <w:p>
      <w:r>
        <w:t>二、省级高端人才：</w:t>
      </w:r>
    </w:p>
    <w:p>
      <w:r>
        <w:t>1.省有突出贡献中青年专家、省“151”人才工程重点资助和第一、第二层次培养人选、省特级教师、省高校教学名师；</w:t>
      </w:r>
    </w:p>
    <w:p>
      <w:r>
        <w:t>2.省“万人计划”领军人才（教学名师领军人才）、省“万人计划”青年拔尖人才；</w:t>
      </w:r>
    </w:p>
    <w:p>
      <w:r>
        <w:t>3.全国优秀教师获得者、省杰出教师获得者。</w:t>
      </w:r>
    </w:p>
    <w:p>
      <w:r>
        <w:t>三、市级高端人才：</w:t>
      </w:r>
    </w:p>
    <w:p>
      <w:r>
        <w:t>省“151”人才工程第三层次培养人选，市杰出人才重点资助和第一层次培养人选，市名师名校长、市教育领军人才、市教育名家。</w:t>
      </w:r>
    </w:p>
    <w:p>
      <w:r>
        <w:t>四、高级人才：</w:t>
      </w:r>
    </w:p>
    <w:p>
      <w:r>
        <w:t>“南湖百杰”优秀人才、市杰出人才第二层次培养人选。</w:t>
      </w:r>
    </w:p>
    <w:p>
      <w:r>
        <w:t>五、正高级职称人才。</w:t>
      </w:r>
    </w:p>
    <w:p>
      <w:r>
        <w:t>六、副高级职称人才。</w:t>
      </w:r>
    </w:p>
    <w:p>
      <w:r>
        <w:t>七、全日制博士研究生。</w:t>
      </w:r>
    </w:p>
    <w:p>
      <w: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r>
        <w:t>九、其他“一流大学建设高校”全日制文理类本科。</w:t>
      </w:r>
    </w:p>
    <w:p>
      <w:r>
        <w:t>以上人才新引进或招录后须持有教师资格证书，持续从事教学工作，且被聘任为相对应级别专业技术职务。</w:t>
      </w:r>
    </w:p>
    <w:p/>
    <w:p>
      <w:r>
        <w:t>附件4：</w:t>
      </w:r>
    </w:p>
    <w:p>
      <w:r>
        <w:t>非师范类应聘对象的专业要求</w:t>
      </w:r>
    </w:p>
    <w:tbl>
      <w:tblPr>
        <w:tblW w:w="90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65"/>
        <w:gridCol w:w="7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16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学科</w:t>
            </w:r>
          </w:p>
        </w:tc>
        <w:tc>
          <w:tcPr>
            <w:tcW w:w="7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对应专业及大类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语文</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中文文秘类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数学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英语</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外国语言文学类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物理</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政治</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历史</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6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地理</w:t>
            </w:r>
          </w:p>
        </w:tc>
        <w:tc>
          <w:tcPr>
            <w:tcW w:w="7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r>
              <w:t>地质矿产类、基础理学类相关专业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科学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化学工程类、医药化工类、生物工程类、农业类、林业类、基础理学类相关专业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社会与政治</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信息技术</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计算机（大类）类、计算机（软件）类、计算机（网络管理）类、教育技术学专业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r>
              <w:t>心理健康</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r>
              <w:t>教育学类下二级科目：心理健康教育专业</w:t>
            </w:r>
          </w:p>
        </w:tc>
      </w:tr>
    </w:tbl>
    <w:p/>
    <w:p>
      <w:r>
        <w:t>━━━━━━━━━━━━━━━━━━━━━━━━━━</w:t>
      </w:r>
    </w:p>
    <w:p>
      <w:r>
        <w:t>抄送：市教育局，县府办，县编委办，县人力社保局。</w:t>
      </w:r>
    </w:p>
    <w:p>
      <w:r>
        <w:t>━━━━━━━━━━━━━━━━━━━━━━━━━━</w:t>
      </w:r>
    </w:p>
    <w:p>
      <w:r>
        <w:t>嘉善县教育局办公室            2021年2月10日印发</w:t>
      </w:r>
    </w:p>
    <w:p>
      <w:r>
        <w:t>━━━━━━━━━━━━━━━━━━━━━━━━━━</w:t>
      </w:r>
    </w:p>
    <w:p/>
    <w:p>
      <w:bookmarkStart w:id="0" w:name="_GoBack"/>
      <w:bookmarkEnd w:id="0"/>
    </w:p>
    <w:sectPr>
      <w:pgSz w:w="11906" w:h="16838"/>
      <w:pgMar w:top="1134"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arb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26FDA"/>
    <w:rsid w:val="007C14F7"/>
    <w:rsid w:val="47526FDA"/>
    <w:rsid w:val="58CC6BFD"/>
    <w:rsid w:val="5D44438A"/>
    <w:rsid w:val="61253474"/>
    <w:rsid w:val="7150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b/>
      <w:color w:val="CC0000"/>
    </w:rPr>
  </w:style>
  <w:style w:type="character" w:styleId="8">
    <w:name w:val="Hyperlink"/>
    <w:basedOn w:val="4"/>
    <w:uiPriority w:val="0"/>
    <w:rPr>
      <w:color w:val="333333"/>
      <w:u w:val="none"/>
    </w:rPr>
  </w:style>
  <w:style w:type="character" w:customStyle="1" w:styleId="9">
    <w:name w:val="showbtn"/>
    <w:basedOn w:val="4"/>
    <w:uiPriority w:val="0"/>
    <w:rPr>
      <w:vanish/>
    </w:rPr>
  </w:style>
  <w:style w:type="character" w:customStyle="1" w:styleId="10">
    <w:name w:val="hidebtn"/>
    <w:basedOn w:val="4"/>
    <w:uiPriority w:val="0"/>
  </w:style>
  <w:style w:type="character" w:customStyle="1" w:styleId="11">
    <w:name w:val="home"/>
    <w:basedOn w:val="4"/>
    <w:uiPriority w:val="0"/>
    <w:rPr>
      <w:vanish/>
    </w:rPr>
  </w:style>
  <w:style w:type="character" w:customStyle="1" w:styleId="12">
    <w:name w:val="end"/>
    <w:basedOn w:val="4"/>
    <w:uiPriority w:val="0"/>
    <w:rPr>
      <w:vanish/>
    </w:rPr>
  </w:style>
  <w:style w:type="character" w:customStyle="1" w:styleId="13">
    <w:name w:val="bgmenuhove2"/>
    <w:basedOn w:val="4"/>
    <w:uiPriority w:val="0"/>
    <w:rPr>
      <w:color w:val="EDDC0B"/>
    </w:rPr>
  </w:style>
  <w:style w:type="character" w:customStyle="1" w:styleId="14">
    <w:name w:val="current"/>
    <w:basedOn w:val="4"/>
    <w:uiPriority w:val="0"/>
    <w:rPr>
      <w:color w:val="363636"/>
      <w:bdr w:val="single" w:color="F2F2F2" w:sz="6" w:space="0"/>
    </w:rPr>
  </w:style>
  <w:style w:type="character" w:customStyle="1" w:styleId="15">
    <w:name w:val="disabled"/>
    <w:basedOn w:val="4"/>
    <w:uiPriority w:val="0"/>
    <w:rPr>
      <w:color w:val="FFFFFF"/>
      <w:bdr w:val="single" w:color="3D6BB7" w:sz="6" w:space="0"/>
      <w:shd w:val="clear" w:fill="3D6BB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2009-06-30T16:51:00Z</dcterms:created>
  <dc:creator>Administrator</dc:creator>
  <cp:lastModifiedBy>Administrator</cp:lastModifiedBy>
  <dcterms:modified xsi:type="dcterms:W3CDTF">2009-06-30T18:46:03Z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