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eastAsia="方正黑体简体"/>
          <w:color w:val="FF0000"/>
          <w:sz w:val="40"/>
          <w:szCs w:val="40"/>
        </w:rPr>
      </w:pPr>
    </w:p>
    <w:p>
      <w:pPr>
        <w:spacing w:line="400" w:lineRule="exact"/>
        <w:rPr>
          <w:rFonts w:hint="eastAsia" w:ascii="黑体" w:eastAsia="黑体"/>
          <w:sz w:val="42"/>
          <w:szCs w:val="42"/>
        </w:rPr>
      </w:pPr>
    </w:p>
    <w:p>
      <w:pPr>
        <w:spacing w:after="624" w:afterLines="200" w:line="400" w:lineRule="exact"/>
        <w:rPr>
          <w:rFonts w:hint="eastAsia" w:ascii="方正黑体简体" w:eastAsia="方正黑体简体"/>
          <w:sz w:val="40"/>
          <w:szCs w:val="40"/>
        </w:rPr>
      </w:pPr>
    </w:p>
    <w:p>
      <w:pPr>
        <w:jc w:val="center"/>
        <w:rPr>
          <w:rFonts w:hint="eastAsia" w:ascii="方正美黑简体" w:eastAsia="方正美黑简体"/>
          <w:color w:val="FF0000"/>
          <w:sz w:val="42"/>
          <w:szCs w:val="42"/>
        </w:rPr>
      </w:pPr>
      <w:r>
        <w:pict>
          <v:shape id="_x0000_s1026" o:spid="_x0000_s1026" o:spt="136" type="#_x0000_t136" style="position:absolute;left:0pt;margin-top:13.2pt;height:76.25pt;width:374.4pt;mso-position-horizontal:center;z-index:-251658240;mso-width-relative:page;mso-height-relative:page;" fillcolor="#FF0000" filled="t" stroked="f" coordsize="21600,21600">
            <v:path/>
            <v:fill on="t" focussize="0,0"/>
            <v:stroke on="f" weight="0pt" color="#FF0000"/>
            <v:imagedata o:title=""/>
            <o:lock v:ext="edit"/>
            <v:textpath on="t" fitshape="t" fitpath="t" trim="t" xscale="f" string="中共汕头市金平区委文件" style="font-family:方正美黑简体;font-size:36pt;v-rotate-letters:f;v-same-letter-heights:f;v-text-align:center;v-text-spacing:49152f;"/>
          </v:shape>
        </w:pict>
      </w:r>
    </w:p>
    <w:p>
      <w:pPr>
        <w:spacing w:line="20" w:lineRule="exact"/>
        <w:jc w:val="center"/>
        <w:rPr>
          <w:rFonts w:hint="eastAsia" w:ascii="黑体" w:eastAsia="黑体"/>
          <w:sz w:val="42"/>
          <w:szCs w:val="42"/>
        </w:rPr>
      </w:pPr>
    </w:p>
    <w:p>
      <w:pPr>
        <w:spacing w:before="405" w:beforeLines="130" w:line="600" w:lineRule="exact"/>
        <w:jc w:val="center"/>
        <w:rPr>
          <w:rFonts w:hint="eastAsia" w:eastAsia="方正仿宋简体"/>
          <w:bCs/>
          <w:spacing w:val="10"/>
          <w:sz w:val="34"/>
          <w:szCs w:val="34"/>
        </w:rPr>
      </w:pPr>
    </w:p>
    <w:p>
      <w:pPr>
        <w:spacing w:before="405" w:beforeLines="130" w:line="600" w:lineRule="exact"/>
        <w:jc w:val="center"/>
        <w:rPr>
          <w:rFonts w:eastAsia="方正仿宋简体"/>
          <w:bCs/>
          <w:spacing w:val="10"/>
          <w:sz w:val="34"/>
          <w:szCs w:val="34"/>
        </w:rPr>
      </w:pPr>
      <w:r>
        <w:rPr>
          <w:rFonts w:eastAsia="方正仿宋简体"/>
          <w:bCs/>
          <w:spacing w:val="10"/>
          <w:sz w:val="34"/>
          <w:szCs w:val="34"/>
        </w:rPr>
        <w:t>汕金委</w:t>
      </w:r>
      <w:r>
        <w:rPr>
          <w:rFonts w:eastAsia="方正仿宋简体"/>
          <w:spacing w:val="10"/>
          <w:sz w:val="34"/>
          <w:szCs w:val="34"/>
        </w:rPr>
        <w:t>〔</w:t>
      </w:r>
      <w:r>
        <w:rPr>
          <w:rFonts w:eastAsia="方正仿宋简体"/>
          <w:bCs/>
          <w:spacing w:val="10"/>
          <w:sz w:val="34"/>
          <w:szCs w:val="34"/>
        </w:rPr>
        <w:t>20</w:t>
      </w:r>
      <w:r>
        <w:rPr>
          <w:rFonts w:hint="eastAsia" w:eastAsia="方正仿宋简体"/>
          <w:bCs/>
          <w:spacing w:val="10"/>
          <w:sz w:val="34"/>
          <w:szCs w:val="34"/>
        </w:rPr>
        <w:t>20</w:t>
      </w:r>
      <w:r>
        <w:rPr>
          <w:rFonts w:eastAsia="方正仿宋简体"/>
          <w:bCs/>
          <w:spacing w:val="10"/>
          <w:sz w:val="34"/>
          <w:szCs w:val="34"/>
        </w:rPr>
        <w:t>〕</w:t>
      </w:r>
      <w:r>
        <w:rPr>
          <w:rFonts w:hint="eastAsia" w:eastAsia="方正仿宋简体"/>
          <w:bCs/>
          <w:spacing w:val="10"/>
          <w:sz w:val="34"/>
          <w:szCs w:val="34"/>
        </w:rPr>
        <w:t>4</w:t>
      </w:r>
      <w:r>
        <w:rPr>
          <w:rFonts w:eastAsia="方正仿宋简体"/>
          <w:bCs/>
          <w:spacing w:val="10"/>
          <w:sz w:val="34"/>
          <w:szCs w:val="34"/>
        </w:rPr>
        <w:t>号</w:t>
      </w:r>
    </w:p>
    <w:p>
      <w:pPr>
        <w:spacing w:line="20" w:lineRule="exact"/>
        <w:jc w:val="center"/>
        <w:rPr>
          <w:rFonts w:hint="eastAsia" w:ascii="仿宋_GB2312" w:eastAsia="仿宋_GB2312"/>
          <w:bCs/>
          <w:sz w:val="32"/>
          <w:szCs w:val="32"/>
        </w:rPr>
      </w:pPr>
    </w:p>
    <w:p>
      <w:pPr>
        <w:spacing w:line="600" w:lineRule="exact"/>
        <w:jc w:val="center"/>
        <w:rPr>
          <w:rFonts w:hint="eastAsia" w:ascii="仿宋_GB2312" w:eastAsia="仿宋_GB2312"/>
          <w:color w:val="FF0000"/>
          <w:sz w:val="60"/>
          <w:szCs w:val="60"/>
        </w:rPr>
      </w:pPr>
      <w:r>
        <w:rPr>
          <w:rFonts w:hint="eastAsia" w:ascii="仿宋_GB2312" w:eastAsia="仿宋_GB2312"/>
          <w:color w:val="FF0000"/>
          <w:sz w:val="60"/>
          <w:szCs w:val="60"/>
        </w:rPr>
        <mc:AlternateContent>
          <mc:Choice Requires="wps">
            <w:drawing>
              <wp:anchor distT="0" distB="0" distL="114300" distR="114300" simplePos="0" relativeHeight="251660288" behindDoc="0" locked="0" layoutInCell="1" allowOverlap="1">
                <wp:simplePos x="0" y="0"/>
                <wp:positionH relativeFrom="column">
                  <wp:posOffset>3029585</wp:posOffset>
                </wp:positionH>
                <wp:positionV relativeFrom="paragraph">
                  <wp:posOffset>151765</wp:posOffset>
                </wp:positionV>
                <wp:extent cx="2555875" cy="0"/>
                <wp:effectExtent l="0" t="15875" r="15875" b="22225"/>
                <wp:wrapNone/>
                <wp:docPr id="13" name="直接连接符 13"/>
                <wp:cNvGraphicFramePr/>
                <a:graphic xmlns:a="http://schemas.openxmlformats.org/drawingml/2006/main">
                  <a:graphicData uri="http://schemas.microsoft.com/office/word/2010/wordprocessingShape">
                    <wps:wsp>
                      <wps:cNvSpPr/>
                      <wps:spPr>
                        <a:xfrm>
                          <a:off x="0" y="0"/>
                          <a:ext cx="255587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8.55pt;margin-top:11.95pt;height:0pt;width:201.25pt;z-index:251660288;mso-width-relative:page;mso-height-relative:page;" filled="f" stroked="t" coordsize="21600,21600" o:gfxdata="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05cB2QAAAAkBAAAPAAAAAAAAAAEAIAAAACIAAABkcnMvZG93bnJldi54&#10;bWxQSwECFAAUAAAACACHTuJA31TlzPkBAADnAwAADgAAAAAAAAABACAAAAAoAQAAZHJzL2Uyb0Rv&#10;Yy54bWxQSwUGAAAAAAYABgBZAQAAkwUAAAAA&#10;">
                <v:path arrowok="t"/>
                <v:fill on="f" focussize="0,0"/>
                <v:stroke weight="2.5pt" color="#FF0000"/>
                <v:imagedata o:title=""/>
                <o:lock v:ext="edit"/>
              </v:line>
            </w:pict>
          </mc:Fallback>
        </mc:AlternateContent>
      </w:r>
      <w:bookmarkStart w:id="0" w:name="_GoBack"/>
      <w:r>
        <w:rPr>
          <w:rFonts w:hint="eastAsia" w:ascii="仿宋_GB2312" w:eastAsia="仿宋_GB2312"/>
          <w:color w:val="FF0000"/>
          <w:sz w:val="60"/>
          <w:szCs w:val="60"/>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146050</wp:posOffset>
                </wp:positionV>
                <wp:extent cx="2555875" cy="0"/>
                <wp:effectExtent l="0" t="15875" r="15875" b="22225"/>
                <wp:wrapNone/>
                <wp:docPr id="12" name="直接连接符 12"/>
                <wp:cNvGraphicFramePr/>
                <a:graphic xmlns:a="http://schemas.openxmlformats.org/drawingml/2006/main">
                  <a:graphicData uri="http://schemas.microsoft.com/office/word/2010/wordprocessingShape">
                    <wps:wsp>
                      <wps:cNvSpPr/>
                      <wps:spPr>
                        <a:xfrm>
                          <a:off x="0" y="0"/>
                          <a:ext cx="255587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11.5pt;height:0pt;width:201.25pt;z-index:251659264;mso-width-relative:page;mso-height-relative:page;" filled="f" stroked="t" coordsize="21600,21600" o:gfxdata="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LlzkzYAAAACAEAAA8AAAAAAAAAAQAgAAAAIgAAAGRycy9kb3ducmV2Lnht&#10;bFBLAQIUABQAAAAIAIdO4kBG/5tC+QEAAOcDAAAOAAAAAAAAAAEAIAAAACcBAABkcnMvZTJvRG9j&#10;LnhtbFBLBQYAAAAABgAGAFkBAACSBQAAAAA=&#10;">
                <v:path arrowok="t"/>
                <v:fill on="f" focussize="0,0"/>
                <v:stroke weight="2.5pt" color="#FF0000"/>
                <v:imagedata o:title=""/>
                <o:lock v:ext="edit"/>
              </v:line>
            </w:pict>
          </mc:Fallback>
        </mc:AlternateContent>
      </w:r>
      <w:bookmarkEnd w:id="0"/>
      <w:r>
        <w:rPr>
          <w:rFonts w:hint="eastAsia" w:ascii="仿宋_GB2312" w:eastAsia="仿宋_GB2312"/>
          <w:color w:val="FF0000"/>
          <w:sz w:val="60"/>
          <w:szCs w:val="60"/>
        </w:rPr>
        <w:t>★</w:t>
      </w:r>
    </w:p>
    <w:p>
      <w:pPr>
        <w:spacing w:before="156" w:beforeLines="50" w:line="600" w:lineRule="exact"/>
        <w:jc w:val="center"/>
        <w:rPr>
          <w:rFonts w:ascii="方正小标宋简体" w:eastAsia="方正小标宋简体"/>
          <w:bCs/>
          <w:sz w:val="44"/>
          <w:szCs w:val="44"/>
        </w:rPr>
      </w:pPr>
      <w:r>
        <w:rPr>
          <w:rFonts w:ascii="方正小标宋简体" w:eastAsia="方正小标宋简体"/>
          <w:bCs/>
          <w:sz w:val="44"/>
          <w:szCs w:val="44"/>
        </w:rPr>
        <w:t>中共汕头市金平区委印发《关于我区加快</w:t>
      </w:r>
    </w:p>
    <w:p>
      <w:pPr>
        <w:spacing w:line="600" w:lineRule="exact"/>
        <w:jc w:val="center"/>
        <w:rPr>
          <w:rFonts w:hint="eastAsia" w:ascii="方正小标宋简体" w:eastAsia="方正小标宋简体"/>
          <w:bCs/>
          <w:sz w:val="44"/>
          <w:szCs w:val="44"/>
        </w:rPr>
      </w:pPr>
      <w:r>
        <w:rPr>
          <w:rFonts w:ascii="方正小标宋简体" w:eastAsia="方正小标宋简体"/>
          <w:bCs/>
          <w:sz w:val="44"/>
          <w:szCs w:val="44"/>
        </w:rPr>
        <w:t>人才发展的实施意见》的通知</w:t>
      </w:r>
    </w:p>
    <w:p>
      <w:pPr>
        <w:adjustRightInd w:val="0"/>
        <w:snapToGrid w:val="0"/>
        <w:spacing w:line="580" w:lineRule="exact"/>
        <w:rPr>
          <w:rFonts w:hint="eastAsia" w:ascii="方正黑体简体" w:hAnsi="方正黑体简体" w:eastAsia="方正黑体简体" w:cs="方正黑体简体"/>
          <w:sz w:val="32"/>
          <w:szCs w:val="32"/>
        </w:rPr>
      </w:pPr>
    </w:p>
    <w:p>
      <w:pPr>
        <w:spacing w:line="560" w:lineRule="exact"/>
        <w:jc w:val="left"/>
        <w:rPr>
          <w:rFonts w:hint="eastAsia" w:ascii="方正楷体简体" w:hAnsi="方正楷体简体" w:eastAsia="方正楷体简体" w:cs="方正楷体简体"/>
          <w:spacing w:val="10"/>
          <w:sz w:val="32"/>
          <w:szCs w:val="32"/>
        </w:rPr>
      </w:pPr>
      <w:r>
        <w:rPr>
          <w:rFonts w:hint="eastAsia" w:ascii="方正楷体简体" w:hAnsi="方正楷体简体" w:eastAsia="方正楷体简体" w:cs="方正楷体简体"/>
          <w:spacing w:val="10"/>
          <w:sz w:val="32"/>
          <w:szCs w:val="32"/>
        </w:rPr>
        <w:t>各街道党工委、小公园街道筹备工作小组，区委各部委，区直各单位党组（党委），区各人民团体党组，中直和市直驻区单位党组（党委）：</w:t>
      </w:r>
    </w:p>
    <w:p>
      <w:pPr>
        <w:tabs>
          <w:tab w:val="left" w:pos="8100"/>
          <w:tab w:val="left" w:pos="8280"/>
          <w:tab w:val="left" w:pos="8460"/>
        </w:tabs>
        <w:spacing w:line="560" w:lineRule="exact"/>
        <w:ind w:firstLine="680" w:firstLineChars="200"/>
        <w:rPr>
          <w:rFonts w:hint="eastAsia" w:ascii="方正楷体简体" w:hAnsi="方正楷体简体" w:eastAsia="方正楷体简体" w:cs="方正楷体简体"/>
          <w:spacing w:val="10"/>
          <w:sz w:val="32"/>
          <w:szCs w:val="32"/>
        </w:rPr>
      </w:pPr>
      <w:r>
        <w:rPr>
          <w:rFonts w:hint="eastAsia" w:ascii="方正楷体简体" w:hAnsi="方正楷体简体" w:eastAsia="方正楷体简体" w:cs="方正楷体简体"/>
          <w:spacing w:val="10"/>
          <w:sz w:val="32"/>
          <w:szCs w:val="32"/>
        </w:rPr>
        <w:t>《关于我区加快人才发展的实施意见》已经区委同意，现印发给你们，请认真贯彻落实。</w:t>
      </w:r>
    </w:p>
    <w:p>
      <w:pPr>
        <w:tabs>
          <w:tab w:val="left" w:pos="7920"/>
          <w:tab w:val="left" w:pos="8100"/>
          <w:tab w:val="left" w:pos="8280"/>
          <w:tab w:val="left" w:pos="8460"/>
        </w:tabs>
        <w:spacing w:line="560" w:lineRule="exact"/>
        <w:ind w:right="640" w:rightChars="200"/>
        <w:rPr>
          <w:rFonts w:hint="eastAsia" w:ascii="方正楷体简体" w:hAnsi="方正楷体简体" w:eastAsia="方正楷体简体" w:cs="方正楷体简体"/>
          <w:spacing w:val="10"/>
          <w:sz w:val="32"/>
          <w:szCs w:val="32"/>
        </w:rPr>
      </w:pPr>
    </w:p>
    <w:p>
      <w:pPr>
        <w:tabs>
          <w:tab w:val="left" w:pos="7920"/>
          <w:tab w:val="left" w:pos="8100"/>
          <w:tab w:val="left" w:pos="8280"/>
          <w:tab w:val="left" w:pos="8460"/>
        </w:tabs>
        <w:spacing w:line="560" w:lineRule="exact"/>
        <w:ind w:right="640" w:rightChars="200"/>
        <w:rPr>
          <w:rFonts w:hint="eastAsia" w:ascii="方正楷体简体" w:hAnsi="方正楷体简体" w:eastAsia="方正楷体简体" w:cs="方正楷体简体"/>
          <w:spacing w:val="10"/>
          <w:sz w:val="32"/>
          <w:szCs w:val="32"/>
        </w:rPr>
      </w:pPr>
    </w:p>
    <w:p>
      <w:pPr>
        <w:tabs>
          <w:tab w:val="left" w:pos="7920"/>
          <w:tab w:val="left" w:pos="8100"/>
          <w:tab w:val="left" w:pos="8280"/>
          <w:tab w:val="left" w:pos="8460"/>
        </w:tabs>
        <w:spacing w:line="560" w:lineRule="exact"/>
        <w:ind w:right="640" w:rightChars="200"/>
        <w:rPr>
          <w:rFonts w:hint="eastAsia" w:ascii="方正楷体简体" w:hAnsi="方正楷体简体" w:eastAsia="方正楷体简体" w:cs="方正楷体简体"/>
          <w:spacing w:val="10"/>
          <w:sz w:val="32"/>
          <w:szCs w:val="32"/>
        </w:rPr>
      </w:pPr>
      <w:r>
        <w:rPr>
          <w:rFonts w:hint="eastAsia" w:ascii="方正楷体简体" w:hAnsi="方正楷体简体" w:eastAsia="方正楷体简体" w:cs="方正楷体简体"/>
          <w:spacing w:val="10"/>
          <w:sz w:val="32"/>
          <w:szCs w:val="32"/>
        </w:rPr>
        <w:t xml:space="preserve">                           </w:t>
      </w:r>
      <w:r>
        <w:rPr>
          <w:rFonts w:hint="eastAsia" w:ascii="方正楷体简体" w:hAnsi="方正楷体简体" w:eastAsia="方正楷体简体" w:cs="方正楷体简体"/>
          <w:spacing w:val="11"/>
          <w:sz w:val="32"/>
          <w:szCs w:val="32"/>
        </w:rPr>
        <w:t>中共汕头市金平区委</w:t>
      </w:r>
    </w:p>
    <w:p>
      <w:pPr>
        <w:tabs>
          <w:tab w:val="left" w:pos="4500"/>
          <w:tab w:val="left" w:pos="4680"/>
          <w:tab w:val="left" w:pos="4860"/>
        </w:tabs>
        <w:spacing w:line="560" w:lineRule="exact"/>
        <w:ind w:firstLine="640" w:firstLineChars="200"/>
        <w:jc w:val="center"/>
        <w:rPr>
          <w:rFonts w:hint="eastAsia" w:ascii="方正楷体简体" w:hAnsi="方正楷体简体" w:eastAsia="方正楷体简体" w:cs="方正楷体简体"/>
          <w:spacing w:val="10"/>
          <w:sz w:val="32"/>
          <w:szCs w:val="32"/>
        </w:rPr>
      </w:pPr>
      <w:r>
        <w:rPr>
          <w:rFonts w:hint="eastAsia" w:ascii="方正楷体简体" w:hAnsi="方正楷体简体" w:eastAsia="方正楷体简体" w:cs="方正楷体简体"/>
          <w:sz w:val="32"/>
          <w:szCs w:val="32"/>
        </w:rPr>
        <w:t xml:space="preserve">                       </w:t>
      </w:r>
      <w:r>
        <w:rPr>
          <w:rFonts w:eastAsia="方正楷体简体"/>
          <w:sz w:val="32"/>
          <w:szCs w:val="32"/>
        </w:rPr>
        <w:t>2020年4月9日</w:t>
      </w:r>
    </w:p>
    <w:p>
      <w:pPr>
        <w:adjustRightInd w:val="0"/>
        <w:snapToGrid w:val="0"/>
        <w:spacing w:line="560" w:lineRule="exact"/>
        <w:jc w:val="center"/>
        <w:rPr>
          <w:rFonts w:eastAsia="方正小标宋简体"/>
          <w:sz w:val="44"/>
          <w:szCs w:val="44"/>
        </w:rPr>
      </w:pPr>
    </w:p>
    <w:p>
      <w:pPr>
        <w:adjustRightInd w:val="0"/>
        <w:snapToGrid w:val="0"/>
        <w:spacing w:line="560" w:lineRule="exact"/>
        <w:jc w:val="center"/>
        <w:rPr>
          <w:rFonts w:hint="eastAsia" w:eastAsia="方正仿宋简体"/>
          <w:snapToGrid w:val="0"/>
          <w:spacing w:val="10"/>
          <w:kern w:val="0"/>
          <w:sz w:val="44"/>
          <w:szCs w:val="44"/>
        </w:rPr>
      </w:pPr>
      <w:r>
        <w:rPr>
          <w:rFonts w:eastAsia="方正小标宋简体"/>
          <w:sz w:val="44"/>
          <w:szCs w:val="44"/>
        </w:rPr>
        <w:t>关于我区加快人才发展的实施意见</w:t>
      </w:r>
    </w:p>
    <w:p>
      <w:pPr>
        <w:spacing w:line="560" w:lineRule="exact"/>
        <w:ind w:firstLine="680" w:firstLineChars="200"/>
        <w:rPr>
          <w:rFonts w:hint="eastAsia" w:eastAsia="方正仿宋简体"/>
          <w:snapToGrid w:val="0"/>
          <w:spacing w:val="10"/>
          <w:kern w:val="0"/>
          <w:sz w:val="32"/>
          <w:szCs w:val="32"/>
        </w:rPr>
      </w:pPr>
    </w:p>
    <w:p>
      <w:pPr>
        <w:spacing w:line="556" w:lineRule="exact"/>
        <w:ind w:firstLine="664" w:firstLineChars="200"/>
        <w:rPr>
          <w:rFonts w:eastAsia="方正仿宋简体"/>
          <w:snapToGrid w:val="0"/>
          <w:spacing w:val="6"/>
          <w:kern w:val="0"/>
          <w:sz w:val="32"/>
          <w:szCs w:val="32"/>
        </w:rPr>
      </w:pPr>
      <w:r>
        <w:rPr>
          <w:rFonts w:eastAsia="方正仿宋简体"/>
          <w:snapToGrid w:val="0"/>
          <w:spacing w:val="6"/>
          <w:kern w:val="0"/>
          <w:sz w:val="32"/>
          <w:szCs w:val="32"/>
        </w:rPr>
        <w:t>为贯彻落实党的十九大精神，大力实施创新驱动发展战略</w:t>
      </w:r>
      <w:r>
        <w:rPr>
          <w:rFonts w:hint="eastAsia" w:eastAsia="方正仿宋简体"/>
          <w:snapToGrid w:val="0"/>
          <w:spacing w:val="6"/>
          <w:kern w:val="0"/>
          <w:sz w:val="32"/>
          <w:szCs w:val="32"/>
        </w:rPr>
        <w:t>，</w:t>
      </w:r>
      <w:r>
        <w:rPr>
          <w:rFonts w:eastAsia="方正仿宋简体"/>
          <w:snapToGrid w:val="0"/>
          <w:spacing w:val="6"/>
          <w:kern w:val="0"/>
          <w:sz w:val="32"/>
          <w:szCs w:val="32"/>
        </w:rPr>
        <w:t>进一步深化人才发展体制机制改革，加快建设人才高地，根据《中共中央印发〈关于深化人才发展体制机制改革的意见〉的通知》《中共广东省委印发〈关于我省深化人才发展体制机制改革的实施意见〉的通知》和《中共汕头市委印发〈关于我市加快人才发展的实施意见〉的通知》精神，结合我区实际，制定如下实施意见。</w:t>
      </w:r>
    </w:p>
    <w:p>
      <w:pPr>
        <w:spacing w:line="556" w:lineRule="exact"/>
        <w:ind w:firstLine="664" w:firstLineChars="200"/>
        <w:rPr>
          <w:rFonts w:hint="eastAsia" w:ascii="方正黑体简体" w:hAnsi="方正黑体简体" w:eastAsia="方正黑体简体" w:cs="方正黑体简体"/>
          <w:snapToGrid w:val="0"/>
          <w:spacing w:val="6"/>
          <w:kern w:val="0"/>
          <w:sz w:val="32"/>
          <w:szCs w:val="32"/>
        </w:rPr>
      </w:pPr>
      <w:r>
        <w:rPr>
          <w:rFonts w:hint="eastAsia" w:ascii="方正黑体简体" w:hAnsi="方正黑体简体" w:eastAsia="方正黑体简体" w:cs="方正黑体简体"/>
          <w:snapToGrid w:val="0"/>
          <w:spacing w:val="6"/>
          <w:kern w:val="0"/>
          <w:sz w:val="32"/>
          <w:szCs w:val="32"/>
        </w:rPr>
        <w:t>一、加强党对人才工作的领导</w:t>
      </w:r>
    </w:p>
    <w:p>
      <w:pPr>
        <w:spacing w:line="556" w:lineRule="exact"/>
        <w:ind w:firstLine="664" w:firstLineChars="200"/>
        <w:rPr>
          <w:rFonts w:hint="eastAsia" w:ascii="方正黑体简体" w:hAnsi="方正黑体简体" w:eastAsia="方正黑体简体" w:cs="方正黑体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（一）完善党管人才工作体制机制。</w:t>
      </w:r>
      <w:r>
        <w:rPr>
          <w:rFonts w:eastAsia="方正仿宋简体"/>
          <w:snapToGrid w:val="0"/>
          <w:spacing w:val="6"/>
          <w:kern w:val="0"/>
          <w:sz w:val="32"/>
          <w:szCs w:val="32"/>
        </w:rPr>
        <w:t>健全人才工作领导机构</w:t>
      </w:r>
      <w:r>
        <w:rPr>
          <w:rFonts w:hint="eastAsia" w:eastAsia="方正仿宋简体"/>
          <w:snapToGrid w:val="0"/>
          <w:spacing w:val="6"/>
          <w:kern w:val="0"/>
          <w:sz w:val="32"/>
          <w:szCs w:val="32"/>
        </w:rPr>
        <w:t>。</w:t>
      </w:r>
      <w:r>
        <w:rPr>
          <w:rFonts w:eastAsia="方正仿宋简体"/>
          <w:snapToGrid w:val="0"/>
          <w:spacing w:val="6"/>
          <w:kern w:val="0"/>
          <w:sz w:val="32"/>
          <w:szCs w:val="32"/>
        </w:rPr>
        <w:t>由区委书记担任区人才工作领导小组组长，及时调整优化区人才工作领导小组成员</w:t>
      </w:r>
      <w:r>
        <w:rPr>
          <w:rFonts w:hint="eastAsia" w:eastAsia="方正仿宋简体"/>
          <w:snapToGrid w:val="0"/>
          <w:spacing w:val="6"/>
          <w:kern w:val="0"/>
          <w:sz w:val="32"/>
          <w:szCs w:val="32"/>
        </w:rPr>
        <w:t>，</w:t>
      </w:r>
      <w:r>
        <w:rPr>
          <w:rFonts w:eastAsia="方正仿宋简体"/>
          <w:snapToGrid w:val="0"/>
          <w:spacing w:val="6"/>
          <w:kern w:val="0"/>
          <w:sz w:val="32"/>
          <w:szCs w:val="32"/>
        </w:rPr>
        <w:t>区人才工作领导小组各成员单位要成立人才工作小组，指定专门股（室）负责本部门人才协调工作</w:t>
      </w:r>
      <w:r>
        <w:rPr>
          <w:rFonts w:hint="eastAsia" w:eastAsia="方正仿宋简体"/>
          <w:snapToGrid w:val="0"/>
          <w:spacing w:val="6"/>
          <w:kern w:val="0"/>
          <w:sz w:val="32"/>
          <w:szCs w:val="32"/>
        </w:rPr>
        <w:t>。</w:t>
      </w:r>
      <w:r>
        <w:rPr>
          <w:rFonts w:eastAsia="方正仿宋简体"/>
          <w:snapToGrid w:val="0"/>
          <w:spacing w:val="6"/>
          <w:kern w:val="0"/>
          <w:sz w:val="32"/>
          <w:szCs w:val="32"/>
        </w:rPr>
        <w:t>研究出台《金平区人才工作领导小组工作规则》</w:t>
      </w:r>
      <w:r>
        <w:rPr>
          <w:rFonts w:hint="eastAsia" w:eastAsia="方正仿宋简体"/>
          <w:snapToGrid w:val="0"/>
          <w:spacing w:val="6"/>
          <w:kern w:val="0"/>
          <w:sz w:val="32"/>
          <w:szCs w:val="32"/>
        </w:rPr>
        <w:t>。</w:t>
      </w:r>
      <w:r>
        <w:rPr>
          <w:rFonts w:eastAsia="方正仿宋简体"/>
          <w:snapToGrid w:val="0"/>
          <w:spacing w:val="6"/>
          <w:kern w:val="0"/>
          <w:sz w:val="32"/>
          <w:szCs w:val="32"/>
        </w:rPr>
        <w:t>建立区人才工作领导小组成员单位年度述职制度，将人才发展列为区经济社会综合评价指标和落实党建工作责任制情况述职的重要内容</w:t>
      </w:r>
      <w:r>
        <w:rPr>
          <w:rFonts w:hint="eastAsia" w:eastAsia="方正仿宋简体"/>
          <w:snapToGrid w:val="0"/>
          <w:spacing w:val="6"/>
          <w:kern w:val="0"/>
          <w:sz w:val="32"/>
          <w:szCs w:val="32"/>
        </w:rPr>
        <w:t>；</w:t>
      </w:r>
      <w:r>
        <w:rPr>
          <w:rFonts w:eastAsia="方正仿宋简体"/>
          <w:snapToGrid w:val="0"/>
          <w:spacing w:val="6"/>
          <w:kern w:val="0"/>
          <w:sz w:val="32"/>
          <w:szCs w:val="32"/>
        </w:rPr>
        <w:t>建立区人才工作领导小组成员单位责任制</w:t>
      </w:r>
      <w:r>
        <w:rPr>
          <w:rFonts w:hint="eastAsia" w:eastAsia="方正仿宋简体"/>
          <w:snapToGrid w:val="0"/>
          <w:spacing w:val="6"/>
          <w:kern w:val="0"/>
          <w:sz w:val="32"/>
          <w:szCs w:val="32"/>
        </w:rPr>
        <w:t>，</w:t>
      </w:r>
      <w:r>
        <w:rPr>
          <w:rFonts w:eastAsia="方正仿宋简体"/>
          <w:snapToGrid w:val="0"/>
          <w:spacing w:val="6"/>
          <w:kern w:val="0"/>
          <w:sz w:val="32"/>
          <w:szCs w:val="32"/>
        </w:rPr>
        <w:t>实行人才工作目标责任考核</w:t>
      </w:r>
      <w:r>
        <w:rPr>
          <w:rFonts w:hint="eastAsia" w:eastAsia="方正仿宋简体"/>
          <w:snapToGrid w:val="0"/>
          <w:spacing w:val="6"/>
          <w:kern w:val="0"/>
          <w:sz w:val="32"/>
          <w:szCs w:val="32"/>
        </w:rPr>
        <w:t>，</w:t>
      </w:r>
      <w:r>
        <w:rPr>
          <w:rFonts w:eastAsia="方正仿宋简体"/>
          <w:snapToGrid w:val="0"/>
          <w:spacing w:val="6"/>
          <w:kern w:val="0"/>
          <w:sz w:val="32"/>
          <w:szCs w:val="32"/>
        </w:rPr>
        <w:t>将人才队伍建设作为目标考核和人才发展指数重点内容</w:t>
      </w:r>
      <w:r>
        <w:rPr>
          <w:rFonts w:hint="eastAsia" w:eastAsia="方正仿宋简体"/>
          <w:snapToGrid w:val="0"/>
          <w:spacing w:val="6"/>
          <w:kern w:val="0"/>
          <w:sz w:val="32"/>
          <w:szCs w:val="32"/>
        </w:rPr>
        <w:t>，</w:t>
      </w:r>
      <w:r>
        <w:rPr>
          <w:rFonts w:eastAsia="方正仿宋简体"/>
          <w:snapToGrid w:val="0"/>
          <w:spacing w:val="6"/>
          <w:kern w:val="0"/>
          <w:sz w:val="32"/>
          <w:szCs w:val="32"/>
        </w:rPr>
        <w:t>考核结果作为领导班子评优</w:t>
      </w:r>
      <w:r>
        <w:rPr>
          <w:rFonts w:hint="eastAsia" w:eastAsia="方正仿宋简体"/>
          <w:snapToGrid w:val="0"/>
          <w:spacing w:val="6"/>
          <w:kern w:val="0"/>
          <w:sz w:val="32"/>
          <w:szCs w:val="32"/>
        </w:rPr>
        <w:t>、</w:t>
      </w:r>
      <w:r>
        <w:rPr>
          <w:rFonts w:eastAsia="方正仿宋简体"/>
          <w:snapToGrid w:val="0"/>
          <w:spacing w:val="6"/>
          <w:kern w:val="0"/>
          <w:sz w:val="32"/>
          <w:szCs w:val="32"/>
        </w:rPr>
        <w:t>干部选拔任用的重要依据和单位年度绩效考核的重要内容</w:t>
      </w:r>
      <w:r>
        <w:rPr>
          <w:rFonts w:hint="eastAsia" w:eastAsia="方正仿宋简体"/>
          <w:snapToGrid w:val="0"/>
          <w:spacing w:val="6"/>
          <w:kern w:val="0"/>
          <w:sz w:val="32"/>
          <w:szCs w:val="32"/>
        </w:rPr>
        <w:t>。</w:t>
      </w:r>
      <w:r>
        <w:rPr>
          <w:rFonts w:eastAsia="方正仿宋简体"/>
          <w:snapToGrid w:val="0"/>
          <w:spacing w:val="6"/>
          <w:kern w:val="0"/>
          <w:sz w:val="32"/>
          <w:szCs w:val="32"/>
        </w:rPr>
        <w:t>建立人才工作联席会议制度</w:t>
      </w:r>
      <w:r>
        <w:rPr>
          <w:rFonts w:hint="eastAsia" w:eastAsia="方正仿宋简体"/>
          <w:snapToGrid w:val="0"/>
          <w:spacing w:val="6"/>
          <w:kern w:val="0"/>
          <w:sz w:val="32"/>
          <w:szCs w:val="32"/>
        </w:rPr>
        <w:t>，</w:t>
      </w:r>
      <w:r>
        <w:rPr>
          <w:rFonts w:eastAsia="方正仿宋简体"/>
          <w:snapToGrid w:val="0"/>
          <w:spacing w:val="6"/>
          <w:kern w:val="0"/>
          <w:sz w:val="32"/>
          <w:szCs w:val="32"/>
        </w:rPr>
        <w:t>定期听取各成员单位人才工作进展情况汇报</w:t>
      </w:r>
      <w:r>
        <w:rPr>
          <w:rFonts w:hint="eastAsia" w:eastAsia="方正仿宋简体"/>
          <w:snapToGrid w:val="0"/>
          <w:spacing w:val="6"/>
          <w:kern w:val="0"/>
          <w:sz w:val="32"/>
          <w:szCs w:val="32"/>
        </w:rPr>
        <w:t>，</w:t>
      </w:r>
      <w:r>
        <w:rPr>
          <w:rFonts w:eastAsia="方正仿宋简体"/>
          <w:snapToGrid w:val="0"/>
          <w:spacing w:val="6"/>
          <w:kern w:val="0"/>
          <w:sz w:val="32"/>
          <w:szCs w:val="32"/>
        </w:rPr>
        <w:t>研究审议全区人才工作和人才队伍建设的重大问题</w:t>
      </w:r>
      <w:r>
        <w:rPr>
          <w:rFonts w:hint="eastAsia" w:eastAsia="方正仿宋简体"/>
          <w:snapToGrid w:val="0"/>
          <w:spacing w:val="6"/>
          <w:kern w:val="0"/>
          <w:sz w:val="32"/>
          <w:szCs w:val="32"/>
        </w:rPr>
        <w:t>；</w:t>
      </w:r>
      <w:r>
        <w:rPr>
          <w:rFonts w:eastAsia="方正仿宋简体"/>
          <w:snapToGrid w:val="0"/>
          <w:spacing w:val="6"/>
          <w:kern w:val="0"/>
          <w:sz w:val="32"/>
          <w:szCs w:val="32"/>
        </w:rPr>
        <w:t>建立区领导直接联系高层次人才制度</w:t>
      </w:r>
      <w:r>
        <w:rPr>
          <w:rFonts w:hint="eastAsia" w:eastAsia="方正仿宋简体"/>
          <w:snapToGrid w:val="0"/>
          <w:spacing w:val="6"/>
          <w:kern w:val="0"/>
          <w:sz w:val="32"/>
          <w:szCs w:val="32"/>
        </w:rPr>
        <w:t>，</w:t>
      </w:r>
      <w:r>
        <w:rPr>
          <w:rFonts w:eastAsia="方正仿宋简体"/>
          <w:snapToGrid w:val="0"/>
          <w:spacing w:val="6"/>
          <w:kern w:val="0"/>
          <w:sz w:val="32"/>
          <w:szCs w:val="32"/>
        </w:rPr>
        <w:t>定期听取高层次人才对区委</w:t>
      </w:r>
      <w:r>
        <w:rPr>
          <w:rFonts w:hint="eastAsia" w:eastAsia="方正仿宋简体"/>
          <w:snapToGrid w:val="0"/>
          <w:spacing w:val="6"/>
          <w:kern w:val="0"/>
          <w:sz w:val="32"/>
          <w:szCs w:val="32"/>
        </w:rPr>
        <w:t>、</w:t>
      </w:r>
      <w:r>
        <w:rPr>
          <w:rFonts w:eastAsia="方正仿宋简体"/>
          <w:snapToGrid w:val="0"/>
          <w:spacing w:val="6"/>
          <w:kern w:val="0"/>
          <w:sz w:val="32"/>
          <w:szCs w:val="32"/>
        </w:rPr>
        <w:t>区政府工作的意见建议</w:t>
      </w:r>
      <w:r>
        <w:rPr>
          <w:rFonts w:hint="eastAsia" w:eastAsia="方正仿宋简体"/>
          <w:snapToGrid w:val="0"/>
          <w:spacing w:val="6"/>
          <w:kern w:val="0"/>
          <w:sz w:val="32"/>
          <w:szCs w:val="32"/>
        </w:rPr>
        <w:t>。</w:t>
      </w:r>
      <w:r>
        <w:rPr>
          <w:rFonts w:eastAsia="方正仿宋简体"/>
          <w:snapToGrid w:val="0"/>
          <w:spacing w:val="6"/>
          <w:kern w:val="0"/>
          <w:sz w:val="32"/>
          <w:szCs w:val="32"/>
        </w:rPr>
        <w:t>进一步加大各类人才国情研修、教育培训力度，增强认同感和向心力</w:t>
      </w:r>
      <w:r>
        <w:rPr>
          <w:rFonts w:hint="eastAsia" w:eastAsia="方正仿宋简体"/>
          <w:snapToGrid w:val="0"/>
          <w:spacing w:val="6"/>
          <w:kern w:val="0"/>
          <w:sz w:val="32"/>
          <w:szCs w:val="32"/>
        </w:rPr>
        <w:t>。</w:t>
      </w:r>
      <w:r>
        <w:rPr>
          <w:rFonts w:hint="eastAsia" w:ascii="方正黑体简体" w:hAnsi="方正黑体简体" w:eastAsia="方正黑体简体" w:cs="方正黑体简体"/>
          <w:snapToGrid w:val="0"/>
          <w:spacing w:val="6"/>
          <w:kern w:val="0"/>
          <w:sz w:val="32"/>
          <w:szCs w:val="32"/>
        </w:rPr>
        <w:t>（牵头单位：区委组织部）</w:t>
      </w:r>
    </w:p>
    <w:p>
      <w:pPr>
        <w:spacing w:line="556" w:lineRule="exact"/>
        <w:ind w:firstLine="664" w:firstLineChars="200"/>
        <w:rPr>
          <w:rFonts w:hint="eastAsia" w:ascii="方正黑体简体" w:hAnsi="方正黑体简体" w:eastAsia="方正黑体简体" w:cs="方正黑体简体"/>
          <w:snapToGrid w:val="0"/>
          <w:spacing w:val="6"/>
          <w:kern w:val="0"/>
          <w:sz w:val="32"/>
          <w:szCs w:val="32"/>
        </w:rPr>
      </w:pPr>
      <w:r>
        <w:rPr>
          <w:rFonts w:ascii="方正楷体简体" w:hAnsi="方正楷体简体" w:eastAsia="方正楷体简体" w:cs="方正楷体简体"/>
          <w:snapToGrid w:val="0"/>
          <w:spacing w:val="6"/>
          <w:kern w:val="0"/>
          <w:sz w:val="32"/>
          <w:szCs w:val="32"/>
        </w:rPr>
        <w:t>（二）加强人才工作政策体系建设</w:t>
      </w:r>
      <w:r>
        <w:rPr>
          <w:rFonts w:hint="eastAsia" w:eastAsia="方正仿宋简体"/>
          <w:snapToGrid w:val="0"/>
          <w:spacing w:val="6"/>
          <w:kern w:val="0"/>
          <w:sz w:val="32"/>
          <w:szCs w:val="32"/>
        </w:rPr>
        <w:t>。</w:t>
      </w:r>
      <w:r>
        <w:rPr>
          <w:rFonts w:eastAsia="方正仿宋简体"/>
          <w:snapToGrid w:val="0"/>
          <w:spacing w:val="6"/>
          <w:kern w:val="0"/>
          <w:sz w:val="32"/>
          <w:szCs w:val="32"/>
        </w:rPr>
        <w:t>定期评估修订全区人才政策</w:t>
      </w:r>
      <w:r>
        <w:rPr>
          <w:rFonts w:hint="eastAsia" w:eastAsia="方正仿宋简体"/>
          <w:snapToGrid w:val="0"/>
          <w:spacing w:val="6"/>
          <w:kern w:val="0"/>
          <w:sz w:val="32"/>
          <w:szCs w:val="32"/>
        </w:rPr>
        <w:t>，</w:t>
      </w:r>
      <w:r>
        <w:rPr>
          <w:rFonts w:eastAsia="方正仿宋简体"/>
          <w:snapToGrid w:val="0"/>
          <w:spacing w:val="6"/>
          <w:kern w:val="0"/>
          <w:sz w:val="32"/>
          <w:szCs w:val="32"/>
        </w:rPr>
        <w:t>及时调整完善有关政策措施</w:t>
      </w:r>
      <w:r>
        <w:rPr>
          <w:rFonts w:hint="eastAsia" w:eastAsia="方正仿宋简体"/>
          <w:snapToGrid w:val="0"/>
          <w:spacing w:val="6"/>
          <w:kern w:val="0"/>
          <w:sz w:val="32"/>
          <w:szCs w:val="32"/>
        </w:rPr>
        <w:t>，</w:t>
      </w:r>
      <w:r>
        <w:rPr>
          <w:rFonts w:eastAsia="方正仿宋简体"/>
          <w:snapToGrid w:val="0"/>
          <w:spacing w:val="6"/>
          <w:kern w:val="0"/>
          <w:sz w:val="32"/>
          <w:szCs w:val="32"/>
        </w:rPr>
        <w:t>建立项目衔接配套、覆盖不同层次的人才项目梯次资助体系</w:t>
      </w:r>
      <w:r>
        <w:rPr>
          <w:rFonts w:hint="eastAsia" w:eastAsia="方正仿宋简体"/>
          <w:snapToGrid w:val="0"/>
          <w:spacing w:val="6"/>
          <w:kern w:val="0"/>
          <w:sz w:val="32"/>
          <w:szCs w:val="32"/>
        </w:rPr>
        <w:t>。</w:t>
      </w:r>
      <w:r>
        <w:rPr>
          <w:rFonts w:eastAsia="方正仿宋简体"/>
          <w:snapToGrid w:val="0"/>
          <w:spacing w:val="6"/>
          <w:kern w:val="0"/>
          <w:sz w:val="32"/>
          <w:szCs w:val="32"/>
        </w:rPr>
        <w:t>加强知识产权保护，认真落实中央、省、市关于高层次人才创新创业保障政策，支持科技人员创业兼职，维护创新创业人才合法权益。</w:t>
      </w:r>
      <w:r>
        <w:rPr>
          <w:rFonts w:hint="eastAsia" w:ascii="方正黑体简体" w:hAnsi="方正黑体简体" w:eastAsia="方正黑体简体" w:cs="方正黑体简体"/>
          <w:snapToGrid w:val="0"/>
          <w:spacing w:val="6"/>
          <w:kern w:val="0"/>
          <w:sz w:val="32"/>
          <w:szCs w:val="32"/>
        </w:rPr>
        <w:t>（牵头单位：区委组织部）</w:t>
      </w:r>
    </w:p>
    <w:p>
      <w:pPr>
        <w:spacing w:line="556" w:lineRule="exact"/>
        <w:ind w:firstLine="664" w:firstLineChars="200"/>
        <w:rPr>
          <w:rFonts w:ascii="方正黑体简体" w:hAnsi="方正黑体简体" w:eastAsia="方正黑体简体" w:cs="方正黑体简体"/>
          <w:snapToGrid w:val="0"/>
          <w:spacing w:val="6"/>
          <w:kern w:val="0"/>
          <w:sz w:val="32"/>
          <w:szCs w:val="32"/>
        </w:rPr>
      </w:pPr>
      <w:r>
        <w:rPr>
          <w:rFonts w:ascii="方正楷体简体" w:hAnsi="方正楷体简体" w:eastAsia="方正楷体简体" w:cs="方正楷体简体"/>
          <w:snapToGrid w:val="0"/>
          <w:spacing w:val="6"/>
          <w:kern w:val="0"/>
          <w:sz w:val="32"/>
          <w:szCs w:val="32"/>
        </w:rPr>
        <w:t>（三）发挥</w:t>
      </w:r>
      <w:r>
        <w:rPr>
          <w:rFonts w:hint="eastAsia" w:ascii="方正楷体简体" w:hAnsi="方正楷体简体" w:eastAsia="方正楷体简体" w:cs="方正楷体简体"/>
          <w:snapToGrid w:val="0"/>
          <w:spacing w:val="6"/>
          <w:kern w:val="0"/>
          <w:sz w:val="32"/>
          <w:szCs w:val="32"/>
        </w:rPr>
        <w:t>“</w:t>
      </w:r>
      <w:r>
        <w:rPr>
          <w:rFonts w:ascii="方正楷体简体" w:hAnsi="方正楷体简体" w:eastAsia="方正楷体简体" w:cs="方正楷体简体"/>
          <w:snapToGrid w:val="0"/>
          <w:spacing w:val="6"/>
          <w:kern w:val="0"/>
          <w:sz w:val="32"/>
          <w:szCs w:val="32"/>
        </w:rPr>
        <w:t>两新</w:t>
      </w:r>
      <w:r>
        <w:rPr>
          <w:rFonts w:hint="eastAsia" w:ascii="方正楷体简体" w:hAnsi="方正楷体简体" w:eastAsia="方正楷体简体" w:cs="方正楷体简体"/>
          <w:snapToGrid w:val="0"/>
          <w:spacing w:val="6"/>
          <w:kern w:val="0"/>
          <w:sz w:val="32"/>
          <w:szCs w:val="32"/>
        </w:rPr>
        <w:t>”</w:t>
      </w:r>
      <w:r>
        <w:rPr>
          <w:rFonts w:ascii="方正楷体简体" w:hAnsi="方正楷体简体" w:eastAsia="方正楷体简体" w:cs="方正楷体简体"/>
          <w:snapToGrid w:val="0"/>
          <w:spacing w:val="6"/>
          <w:kern w:val="0"/>
          <w:sz w:val="32"/>
          <w:szCs w:val="32"/>
        </w:rPr>
        <w:t>组织党组织作用。</w:t>
      </w:r>
      <w:r>
        <w:rPr>
          <w:rFonts w:eastAsia="方正仿宋简体"/>
          <w:snapToGrid w:val="0"/>
          <w:spacing w:val="6"/>
          <w:kern w:val="0"/>
          <w:sz w:val="32"/>
          <w:szCs w:val="32"/>
        </w:rPr>
        <w:t>强化</w:t>
      </w:r>
      <w:r>
        <w:rPr>
          <w:rFonts w:hint="eastAsia" w:eastAsia="方正仿宋简体"/>
          <w:snapToGrid w:val="0"/>
          <w:spacing w:val="6"/>
          <w:kern w:val="0"/>
          <w:sz w:val="32"/>
          <w:szCs w:val="32"/>
        </w:rPr>
        <w:t>“</w:t>
      </w:r>
      <w:r>
        <w:rPr>
          <w:rFonts w:eastAsia="方正仿宋简体"/>
          <w:snapToGrid w:val="0"/>
          <w:spacing w:val="6"/>
          <w:kern w:val="0"/>
          <w:sz w:val="32"/>
          <w:szCs w:val="32"/>
        </w:rPr>
        <w:t>两新</w:t>
      </w:r>
      <w:r>
        <w:rPr>
          <w:rFonts w:hint="eastAsia" w:eastAsia="方正仿宋简体"/>
          <w:snapToGrid w:val="0"/>
          <w:spacing w:val="6"/>
          <w:kern w:val="0"/>
          <w:sz w:val="32"/>
          <w:szCs w:val="32"/>
        </w:rPr>
        <w:t>”</w:t>
      </w:r>
      <w:r>
        <w:rPr>
          <w:rFonts w:eastAsia="方正仿宋简体"/>
          <w:snapToGrid w:val="0"/>
          <w:spacing w:val="6"/>
          <w:kern w:val="0"/>
          <w:sz w:val="32"/>
          <w:szCs w:val="32"/>
        </w:rPr>
        <w:t>组织党组织在非公有制经济组织和社会组织人才工作的地位和作用</w:t>
      </w:r>
      <w:r>
        <w:rPr>
          <w:rFonts w:hint="eastAsia" w:eastAsia="方正仿宋简体"/>
          <w:snapToGrid w:val="0"/>
          <w:spacing w:val="6"/>
          <w:kern w:val="0"/>
          <w:sz w:val="32"/>
          <w:szCs w:val="32"/>
        </w:rPr>
        <w:t>，</w:t>
      </w:r>
      <w:r>
        <w:rPr>
          <w:rFonts w:eastAsia="方正仿宋简体"/>
          <w:snapToGrid w:val="0"/>
          <w:spacing w:val="6"/>
          <w:kern w:val="0"/>
          <w:sz w:val="32"/>
          <w:szCs w:val="32"/>
        </w:rPr>
        <w:t>提高人才工作参与度</w:t>
      </w:r>
      <w:r>
        <w:rPr>
          <w:rFonts w:hint="eastAsia" w:eastAsia="方正仿宋简体"/>
          <w:snapToGrid w:val="0"/>
          <w:spacing w:val="6"/>
          <w:kern w:val="0"/>
          <w:sz w:val="32"/>
          <w:szCs w:val="32"/>
        </w:rPr>
        <w:t>，</w:t>
      </w:r>
      <w:r>
        <w:rPr>
          <w:rFonts w:eastAsia="方正仿宋简体"/>
          <w:snapToGrid w:val="0"/>
          <w:spacing w:val="6"/>
          <w:kern w:val="0"/>
          <w:sz w:val="32"/>
          <w:szCs w:val="32"/>
        </w:rPr>
        <w:t>所在单位中向上级推荐项目和人才须征求党组织意见</w:t>
      </w:r>
      <w:r>
        <w:rPr>
          <w:rFonts w:hint="eastAsia" w:eastAsia="方正仿宋简体"/>
          <w:snapToGrid w:val="0"/>
          <w:spacing w:val="6"/>
          <w:kern w:val="0"/>
          <w:sz w:val="32"/>
          <w:szCs w:val="32"/>
        </w:rPr>
        <w:t>，</w:t>
      </w:r>
      <w:r>
        <w:rPr>
          <w:rFonts w:eastAsia="方正仿宋简体"/>
          <w:snapToGrid w:val="0"/>
          <w:spacing w:val="6"/>
          <w:kern w:val="0"/>
          <w:sz w:val="32"/>
          <w:szCs w:val="32"/>
        </w:rPr>
        <w:t>推动</w:t>
      </w:r>
      <w:r>
        <w:rPr>
          <w:rFonts w:hint="eastAsia" w:eastAsia="方正仿宋简体"/>
          <w:snapToGrid w:val="0"/>
          <w:spacing w:val="6"/>
          <w:kern w:val="0"/>
          <w:sz w:val="32"/>
          <w:szCs w:val="32"/>
        </w:rPr>
        <w:t>“</w:t>
      </w:r>
      <w:r>
        <w:rPr>
          <w:rFonts w:eastAsia="方正仿宋简体"/>
          <w:snapToGrid w:val="0"/>
          <w:spacing w:val="6"/>
          <w:kern w:val="0"/>
          <w:sz w:val="32"/>
          <w:szCs w:val="32"/>
        </w:rPr>
        <w:t>两新</w:t>
      </w:r>
      <w:r>
        <w:rPr>
          <w:rFonts w:hint="eastAsia" w:eastAsia="方正仿宋简体"/>
          <w:snapToGrid w:val="0"/>
          <w:spacing w:val="6"/>
          <w:kern w:val="0"/>
          <w:sz w:val="32"/>
          <w:szCs w:val="32"/>
        </w:rPr>
        <w:t>”</w:t>
      </w:r>
      <w:r>
        <w:rPr>
          <w:rFonts w:eastAsia="方正仿宋简体"/>
          <w:snapToGrid w:val="0"/>
          <w:spacing w:val="6"/>
          <w:kern w:val="0"/>
          <w:sz w:val="32"/>
          <w:szCs w:val="32"/>
        </w:rPr>
        <w:t>组织党组织在本单位人才工作和科创项目申报</w:t>
      </w:r>
      <w:r>
        <w:rPr>
          <w:rFonts w:hint="eastAsia" w:eastAsia="方正仿宋简体"/>
          <w:snapToGrid w:val="0"/>
          <w:spacing w:val="6"/>
          <w:kern w:val="0"/>
          <w:sz w:val="32"/>
          <w:szCs w:val="32"/>
        </w:rPr>
        <w:t>、</w:t>
      </w:r>
      <w:r>
        <w:rPr>
          <w:rFonts w:eastAsia="方正仿宋简体"/>
          <w:snapToGrid w:val="0"/>
          <w:spacing w:val="6"/>
          <w:kern w:val="0"/>
          <w:sz w:val="32"/>
          <w:szCs w:val="32"/>
        </w:rPr>
        <w:t>跟踪等方面作用得到更好的发挥</w:t>
      </w:r>
      <w:r>
        <w:rPr>
          <w:rFonts w:hint="eastAsia" w:eastAsia="方正仿宋简体"/>
          <w:snapToGrid w:val="0"/>
          <w:spacing w:val="6"/>
          <w:kern w:val="0"/>
          <w:sz w:val="32"/>
          <w:szCs w:val="32"/>
        </w:rPr>
        <w:t>，</w:t>
      </w:r>
      <w:r>
        <w:rPr>
          <w:rFonts w:eastAsia="方正仿宋简体"/>
          <w:snapToGrid w:val="0"/>
          <w:spacing w:val="6"/>
          <w:kern w:val="0"/>
          <w:sz w:val="32"/>
          <w:szCs w:val="32"/>
        </w:rPr>
        <w:t>打通人才工作落实在非公有制经济组织和社会组织的</w:t>
      </w:r>
      <w:r>
        <w:rPr>
          <w:rFonts w:hint="eastAsia" w:eastAsia="方正仿宋简体"/>
          <w:snapToGrid w:val="0"/>
          <w:spacing w:val="6"/>
          <w:kern w:val="0"/>
          <w:sz w:val="32"/>
          <w:szCs w:val="32"/>
        </w:rPr>
        <w:t>“</w:t>
      </w:r>
      <w:r>
        <w:rPr>
          <w:rFonts w:eastAsia="方正仿宋简体"/>
          <w:snapToGrid w:val="0"/>
          <w:spacing w:val="6"/>
          <w:kern w:val="0"/>
          <w:sz w:val="32"/>
          <w:szCs w:val="32"/>
        </w:rPr>
        <w:t>最后一公里</w:t>
      </w:r>
      <w:r>
        <w:rPr>
          <w:rFonts w:hint="eastAsia" w:eastAsia="方正仿宋简体"/>
          <w:snapToGrid w:val="0"/>
          <w:spacing w:val="6"/>
          <w:kern w:val="0"/>
          <w:sz w:val="32"/>
          <w:szCs w:val="32"/>
        </w:rPr>
        <w:t>”。</w:t>
      </w:r>
      <w:r>
        <w:rPr>
          <w:rFonts w:hint="eastAsia" w:ascii="方正黑体简体" w:hAnsi="方正黑体简体" w:eastAsia="方正黑体简体" w:cs="方正黑体简体"/>
          <w:snapToGrid w:val="0"/>
          <w:spacing w:val="6"/>
          <w:kern w:val="0"/>
          <w:sz w:val="32"/>
          <w:szCs w:val="32"/>
        </w:rPr>
        <w:t>（牵头单位：区委组织部）</w:t>
      </w:r>
    </w:p>
    <w:p>
      <w:pPr>
        <w:spacing w:line="556" w:lineRule="exact"/>
        <w:ind w:firstLine="664" w:firstLineChars="200"/>
        <w:rPr>
          <w:rFonts w:ascii="方正黑体简体" w:hAnsi="方正黑体简体" w:eastAsia="方正黑体简体" w:cs="方正黑体简体"/>
          <w:snapToGrid w:val="0"/>
          <w:spacing w:val="6"/>
          <w:kern w:val="0"/>
          <w:sz w:val="32"/>
          <w:szCs w:val="32"/>
        </w:rPr>
      </w:pPr>
      <w:r>
        <w:rPr>
          <w:rFonts w:ascii="方正黑体简体" w:hAnsi="方正黑体简体" w:eastAsia="方正黑体简体" w:cs="方正黑体简体"/>
          <w:snapToGrid w:val="0"/>
          <w:spacing w:val="6"/>
          <w:kern w:val="0"/>
          <w:sz w:val="32"/>
          <w:szCs w:val="32"/>
        </w:rPr>
        <w:t>二、实施具有金平特色的人才计划</w:t>
      </w:r>
    </w:p>
    <w:p>
      <w:pPr>
        <w:spacing w:line="556" w:lineRule="exact"/>
        <w:ind w:firstLine="664" w:firstLineChars="200"/>
        <w:rPr>
          <w:rFonts w:eastAsia="方正仿宋简体"/>
          <w:snapToGrid w:val="0"/>
          <w:spacing w:val="6"/>
          <w:kern w:val="0"/>
          <w:sz w:val="32"/>
          <w:szCs w:val="32"/>
        </w:rPr>
      </w:pPr>
      <w:r>
        <w:rPr>
          <w:rFonts w:ascii="方正楷体简体" w:hAnsi="方正楷体简体" w:eastAsia="方正楷体简体" w:cs="方正楷体简体"/>
          <w:snapToGrid w:val="0"/>
          <w:spacing w:val="6"/>
          <w:kern w:val="0"/>
          <w:sz w:val="32"/>
          <w:szCs w:val="32"/>
        </w:rPr>
        <w:t>（四）实施全日制博（硕）士研究生引进计划</w:t>
      </w:r>
      <w:r>
        <w:rPr>
          <w:rFonts w:hint="eastAsia" w:ascii="方正楷体简体" w:hAnsi="方正楷体简体" w:eastAsia="方正楷体简体" w:cs="方正楷体简体"/>
          <w:snapToGrid w:val="0"/>
          <w:spacing w:val="6"/>
          <w:kern w:val="0"/>
          <w:sz w:val="32"/>
          <w:szCs w:val="32"/>
        </w:rPr>
        <w:t>。</w:t>
      </w:r>
      <w:r>
        <w:rPr>
          <w:rFonts w:eastAsia="方正仿宋简体"/>
          <w:snapToGrid w:val="0"/>
          <w:spacing w:val="6"/>
          <w:kern w:val="0"/>
          <w:sz w:val="32"/>
          <w:szCs w:val="32"/>
        </w:rPr>
        <w:t>按照《关于印发〈汕头市引进博（硕）士三年行动计划实施方案〉的通知》（汕人才发〔2020〕1号）（下称汕人才发〔2020〕1号）部署，结合金平实际，着力引进国内全日制普通高校博（硕）士研究生或经教育部认证的海外留学博（硕）士，充实到我区企事业单位。区属事业单位引进对象签订聘用合同约定首聘服务年限为5年（含1年试用期），其它类型企业引进对象按有关规定约定首聘服务年限和试用期限。</w:t>
      </w:r>
    </w:p>
    <w:p>
      <w:pPr>
        <w:spacing w:line="556" w:lineRule="exact"/>
        <w:ind w:firstLine="664" w:firstLineChars="200"/>
        <w:rPr>
          <w:rFonts w:eastAsia="方正仿宋简体"/>
          <w:snapToGrid w:val="0"/>
          <w:spacing w:val="6"/>
          <w:kern w:val="0"/>
          <w:sz w:val="32"/>
          <w:szCs w:val="32"/>
        </w:rPr>
      </w:pPr>
      <w:r>
        <w:rPr>
          <w:rFonts w:eastAsia="方正仿宋简体"/>
          <w:snapToGrid w:val="0"/>
          <w:spacing w:val="6"/>
          <w:kern w:val="0"/>
          <w:sz w:val="32"/>
          <w:szCs w:val="32"/>
        </w:rPr>
        <w:t>发放生活补贴。纳入汕人才发〔2020〕1号文件范围的引进对象，享受市有关政策规定。未纳入市引进计划范围的全日制硕士研究生，试用期满并考核合格，在我区缴交社会保险满1年的，给予一次性5万元生活补贴。</w:t>
      </w:r>
    </w:p>
    <w:p>
      <w:pPr>
        <w:spacing w:line="556" w:lineRule="exact"/>
        <w:ind w:firstLine="664" w:firstLineChars="200"/>
        <w:rPr>
          <w:rFonts w:eastAsia="方正仿宋简体"/>
          <w:snapToGrid w:val="0"/>
          <w:spacing w:val="6"/>
          <w:kern w:val="0"/>
          <w:sz w:val="32"/>
          <w:szCs w:val="32"/>
        </w:rPr>
      </w:pPr>
      <w:r>
        <w:rPr>
          <w:rFonts w:eastAsia="方正仿宋简体"/>
          <w:snapToGrid w:val="0"/>
          <w:spacing w:val="6"/>
          <w:kern w:val="0"/>
          <w:sz w:val="32"/>
          <w:szCs w:val="32"/>
        </w:rPr>
        <w:t>优化服务环境</w:t>
      </w:r>
      <w:r>
        <w:rPr>
          <w:rFonts w:hint="eastAsia" w:eastAsia="方正仿宋简体"/>
          <w:snapToGrid w:val="0"/>
          <w:spacing w:val="6"/>
          <w:kern w:val="0"/>
          <w:sz w:val="32"/>
          <w:szCs w:val="32"/>
        </w:rPr>
        <w:t>。</w:t>
      </w:r>
      <w:r>
        <w:rPr>
          <w:rFonts w:eastAsia="方正仿宋简体"/>
          <w:snapToGrid w:val="0"/>
          <w:spacing w:val="6"/>
          <w:kern w:val="0"/>
          <w:sz w:val="32"/>
          <w:szCs w:val="32"/>
        </w:rPr>
        <w:t>引进的全日制硕士研究生安排入住人才公寓，入住3年内免租金；未能安排入住人才公寓的，给予每人每月800元租房补贴，补贴期限最长不超过36个月，期间如入住人才公寓的，则停止领取租房补贴。引进对象配偶原有工作单位并愿意在我区就业的，由区委组织部、区人社局根据</w:t>
      </w:r>
      <w:r>
        <w:rPr>
          <w:rFonts w:hint="eastAsia" w:eastAsia="方正仿宋简体"/>
          <w:snapToGrid w:val="0"/>
          <w:spacing w:val="6"/>
          <w:kern w:val="0"/>
          <w:sz w:val="32"/>
          <w:szCs w:val="32"/>
        </w:rPr>
        <w:t>其</w:t>
      </w:r>
      <w:r>
        <w:rPr>
          <w:rFonts w:eastAsia="方正仿宋简体"/>
          <w:snapToGrid w:val="0"/>
          <w:spacing w:val="6"/>
          <w:kern w:val="0"/>
          <w:sz w:val="32"/>
          <w:szCs w:val="32"/>
        </w:rPr>
        <w:t>工作性质对口安排就业；原没有工作单位的由区人社局牵头协调安排就业；暂时没有工作的，待业期间给予全日制硕士配偶每月1000元生活补贴，补贴期限不超过12个月；引进对象子女入学由区教育局按自愿和就近原则安排到聿怀中学、东厦小学等区属优质公办学校（幼儿园）就读。</w:t>
      </w:r>
    </w:p>
    <w:p>
      <w:pPr>
        <w:spacing w:line="556" w:lineRule="exact"/>
        <w:ind w:firstLine="664" w:firstLineChars="200"/>
        <w:rPr>
          <w:rFonts w:eastAsia="方正仿宋简体"/>
          <w:snapToGrid w:val="0"/>
          <w:spacing w:val="6"/>
          <w:kern w:val="0"/>
          <w:sz w:val="32"/>
          <w:szCs w:val="32"/>
        </w:rPr>
      </w:pPr>
      <w:r>
        <w:rPr>
          <w:rFonts w:eastAsia="方正仿宋简体"/>
          <w:snapToGrid w:val="0"/>
          <w:spacing w:val="6"/>
          <w:kern w:val="0"/>
          <w:sz w:val="32"/>
          <w:szCs w:val="32"/>
        </w:rPr>
        <w:t>加大培养力度</w:t>
      </w:r>
      <w:r>
        <w:rPr>
          <w:rFonts w:hint="eastAsia" w:eastAsia="方正仿宋简体"/>
          <w:snapToGrid w:val="0"/>
          <w:spacing w:val="6"/>
          <w:kern w:val="0"/>
          <w:sz w:val="32"/>
          <w:szCs w:val="32"/>
        </w:rPr>
        <w:t>。</w:t>
      </w:r>
      <w:r>
        <w:rPr>
          <w:rFonts w:eastAsia="方正仿宋简体"/>
          <w:snapToGrid w:val="0"/>
          <w:spacing w:val="6"/>
          <w:kern w:val="0"/>
          <w:sz w:val="32"/>
          <w:szCs w:val="32"/>
        </w:rPr>
        <w:t>区属事业单位引进的全日制硕士研究生，试用期满并考核合格的，结合个人意愿，学校、医院引进的硕士任单位中层正职（主任）助理，享受相应副职待遇；其他事业单位引进的硕士，任事业单位主要领导助理，享受相应副职待遇。担任助理1年后，经考核合格、民主测评、民主推荐，择优安排到相应岗位担任副职。表现优秀且符合调任资格条件的博（硕）士研究生，根据区机关岗位需求，积极向上级申报调任为公务员。</w:t>
      </w:r>
    </w:p>
    <w:p>
      <w:pPr>
        <w:spacing w:line="556" w:lineRule="exact"/>
        <w:ind w:firstLine="664" w:firstLineChars="200"/>
        <w:rPr>
          <w:rFonts w:eastAsia="方正仿宋简体"/>
          <w:snapToGrid w:val="0"/>
          <w:spacing w:val="6"/>
          <w:kern w:val="0"/>
          <w:sz w:val="32"/>
          <w:szCs w:val="32"/>
        </w:rPr>
      </w:pPr>
      <w:r>
        <w:rPr>
          <w:rFonts w:eastAsia="方正仿宋简体"/>
          <w:snapToGrid w:val="0"/>
          <w:spacing w:val="6"/>
          <w:kern w:val="0"/>
          <w:sz w:val="32"/>
          <w:szCs w:val="32"/>
        </w:rPr>
        <w:t>区属事业单位在本意见实施之前引进的全日制博（硕）士研究生，除货币补贴外，其配偶就业安排、子女入学、管理培养适用本项规定。</w:t>
      </w:r>
      <w:r>
        <w:rPr>
          <w:rFonts w:hint="eastAsia" w:ascii="方正黑体简体" w:hAnsi="方正黑体简体" w:eastAsia="方正黑体简体" w:cs="方正黑体简体"/>
          <w:snapToGrid w:val="0"/>
          <w:spacing w:val="6"/>
          <w:kern w:val="0"/>
          <w:sz w:val="32"/>
          <w:szCs w:val="32"/>
        </w:rPr>
        <w:t>（牵头单位：区委组织部）</w:t>
      </w:r>
    </w:p>
    <w:p>
      <w:pPr>
        <w:spacing w:line="556" w:lineRule="exact"/>
        <w:ind w:firstLine="664" w:firstLineChars="200"/>
        <w:rPr>
          <w:rFonts w:eastAsia="方正仿宋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（五）实施教育系统专项人才计划。</w:t>
      </w:r>
      <w:r>
        <w:rPr>
          <w:rFonts w:eastAsia="方正仿宋简体"/>
          <w:snapToGrid w:val="0"/>
          <w:spacing w:val="6"/>
          <w:kern w:val="0"/>
          <w:sz w:val="32"/>
          <w:szCs w:val="32"/>
        </w:rPr>
        <w:t>大力引进和培育在职在岗省级及以上名校长、名教师、名班主任、优秀青年人才。设立以</w:t>
      </w:r>
      <w:r>
        <w:rPr>
          <w:rFonts w:hint="eastAsia" w:eastAsia="方正仿宋简体"/>
          <w:snapToGrid w:val="0"/>
          <w:spacing w:val="6"/>
          <w:kern w:val="0"/>
          <w:sz w:val="32"/>
          <w:szCs w:val="32"/>
        </w:rPr>
        <w:t>“</w:t>
      </w:r>
      <w:r>
        <w:rPr>
          <w:rFonts w:eastAsia="方正仿宋简体"/>
          <w:snapToGrid w:val="0"/>
          <w:spacing w:val="6"/>
          <w:kern w:val="0"/>
          <w:sz w:val="32"/>
          <w:szCs w:val="32"/>
        </w:rPr>
        <w:t>三名一优</w:t>
      </w:r>
      <w:r>
        <w:rPr>
          <w:rFonts w:hint="eastAsia" w:eastAsia="方正仿宋简体"/>
          <w:snapToGrid w:val="0"/>
          <w:spacing w:val="6"/>
          <w:kern w:val="0"/>
          <w:sz w:val="32"/>
          <w:szCs w:val="32"/>
        </w:rPr>
        <w:t>”</w:t>
      </w:r>
      <w:r>
        <w:rPr>
          <w:rFonts w:eastAsia="方正仿宋简体"/>
          <w:snapToGrid w:val="0"/>
          <w:spacing w:val="6"/>
          <w:kern w:val="0"/>
          <w:sz w:val="32"/>
          <w:szCs w:val="32"/>
        </w:rPr>
        <w:t>人才姓名命名的工作室，被认定为国家级</w:t>
      </w:r>
      <w:r>
        <w:rPr>
          <w:rFonts w:hint="eastAsia" w:eastAsia="方正仿宋简体"/>
          <w:snapToGrid w:val="0"/>
          <w:spacing w:val="6"/>
          <w:kern w:val="0"/>
          <w:sz w:val="32"/>
          <w:szCs w:val="32"/>
        </w:rPr>
        <w:t>“</w:t>
      </w:r>
      <w:r>
        <w:rPr>
          <w:rFonts w:eastAsia="方正仿宋简体"/>
          <w:snapToGrid w:val="0"/>
          <w:spacing w:val="6"/>
          <w:kern w:val="0"/>
          <w:sz w:val="32"/>
          <w:szCs w:val="32"/>
        </w:rPr>
        <w:t>三名一优</w:t>
      </w:r>
      <w:r>
        <w:rPr>
          <w:rFonts w:hint="eastAsia" w:eastAsia="方正仿宋简体"/>
          <w:snapToGrid w:val="0"/>
          <w:spacing w:val="6"/>
          <w:kern w:val="0"/>
          <w:sz w:val="32"/>
          <w:szCs w:val="32"/>
        </w:rPr>
        <w:t>”</w:t>
      </w:r>
      <w:r>
        <w:rPr>
          <w:rFonts w:eastAsia="方正仿宋简体"/>
          <w:snapToGrid w:val="0"/>
          <w:spacing w:val="6"/>
          <w:kern w:val="0"/>
          <w:sz w:val="32"/>
          <w:szCs w:val="32"/>
        </w:rPr>
        <w:t>（A类）人才的，其工作室每年配套教研科研和培训经费不少于20万元</w:t>
      </w:r>
      <w:r>
        <w:rPr>
          <w:rFonts w:hint="eastAsia" w:eastAsia="方正仿宋简体"/>
          <w:snapToGrid w:val="0"/>
          <w:spacing w:val="6"/>
          <w:kern w:val="0"/>
          <w:sz w:val="32"/>
          <w:szCs w:val="32"/>
        </w:rPr>
        <w:t>；</w:t>
      </w:r>
      <w:r>
        <w:rPr>
          <w:rFonts w:eastAsia="方正仿宋简体"/>
          <w:snapToGrid w:val="0"/>
          <w:spacing w:val="6"/>
          <w:kern w:val="0"/>
          <w:sz w:val="32"/>
          <w:szCs w:val="32"/>
        </w:rPr>
        <w:t>被认定为省级</w:t>
      </w:r>
      <w:r>
        <w:rPr>
          <w:rFonts w:hint="eastAsia" w:eastAsia="方正仿宋简体"/>
          <w:snapToGrid w:val="0"/>
          <w:spacing w:val="6"/>
          <w:kern w:val="0"/>
          <w:sz w:val="32"/>
          <w:szCs w:val="32"/>
        </w:rPr>
        <w:t>“</w:t>
      </w:r>
      <w:r>
        <w:rPr>
          <w:rFonts w:eastAsia="方正仿宋简体"/>
          <w:snapToGrid w:val="0"/>
          <w:spacing w:val="6"/>
          <w:kern w:val="0"/>
          <w:sz w:val="32"/>
          <w:szCs w:val="32"/>
        </w:rPr>
        <w:t>三名一优</w:t>
      </w:r>
      <w:r>
        <w:rPr>
          <w:rFonts w:hint="eastAsia" w:eastAsia="方正仿宋简体"/>
          <w:snapToGrid w:val="0"/>
          <w:spacing w:val="6"/>
          <w:kern w:val="0"/>
          <w:sz w:val="32"/>
          <w:szCs w:val="32"/>
        </w:rPr>
        <w:t>”</w:t>
      </w:r>
      <w:r>
        <w:rPr>
          <w:rFonts w:eastAsia="方正仿宋简体"/>
          <w:snapToGrid w:val="0"/>
          <w:spacing w:val="6"/>
          <w:kern w:val="0"/>
          <w:sz w:val="32"/>
          <w:szCs w:val="32"/>
        </w:rPr>
        <w:t>（B类）人才的，其工作室每年配套教研科研和培训经费不少于5万元。强化绩效考核奖励，每年由区教育局牵头，对工作室当年度业绩按照优秀、良好、合格三个等次进行严格考核，考核结果报区人才工作领导小组审核同意</w:t>
      </w:r>
      <w:r>
        <w:rPr>
          <w:rFonts w:hint="eastAsia" w:eastAsia="方正仿宋简体"/>
          <w:snapToGrid w:val="0"/>
          <w:spacing w:val="6"/>
          <w:kern w:val="0"/>
          <w:sz w:val="32"/>
          <w:szCs w:val="32"/>
        </w:rPr>
        <w:t>，</w:t>
      </w:r>
      <w:r>
        <w:rPr>
          <w:rFonts w:eastAsia="方正仿宋简体"/>
          <w:snapToGrid w:val="0"/>
          <w:spacing w:val="6"/>
          <w:kern w:val="0"/>
          <w:sz w:val="32"/>
          <w:szCs w:val="32"/>
        </w:rPr>
        <w:t>A类人才分别相应给予人才个人年终一次性绩效奖励10万元</w:t>
      </w:r>
      <w:r>
        <w:rPr>
          <w:rFonts w:hint="eastAsia" w:eastAsia="方正仿宋简体"/>
          <w:snapToGrid w:val="0"/>
          <w:spacing w:val="6"/>
          <w:kern w:val="0"/>
          <w:sz w:val="32"/>
          <w:szCs w:val="32"/>
        </w:rPr>
        <w:t>、</w:t>
      </w:r>
      <w:r>
        <w:rPr>
          <w:rFonts w:eastAsia="方正仿宋简体"/>
          <w:snapToGrid w:val="0"/>
          <w:spacing w:val="6"/>
          <w:kern w:val="0"/>
          <w:sz w:val="32"/>
          <w:szCs w:val="32"/>
        </w:rPr>
        <w:t>5万元</w:t>
      </w:r>
      <w:r>
        <w:rPr>
          <w:rFonts w:hint="eastAsia" w:eastAsia="方正仿宋简体"/>
          <w:snapToGrid w:val="0"/>
          <w:spacing w:val="6"/>
          <w:kern w:val="0"/>
          <w:sz w:val="32"/>
          <w:szCs w:val="32"/>
        </w:rPr>
        <w:t>、</w:t>
      </w:r>
      <w:r>
        <w:rPr>
          <w:rFonts w:eastAsia="方正仿宋简体"/>
          <w:snapToGrid w:val="0"/>
          <w:spacing w:val="6"/>
          <w:kern w:val="0"/>
          <w:sz w:val="32"/>
          <w:szCs w:val="32"/>
        </w:rPr>
        <w:t>3万元，B类人才分别相应给予人才个人年终一次性绩效奖励3万元、2万元、5000元。优秀、良好等次的比例分别为不高于各类工作室总数的20</w:t>
      </w:r>
      <w:r>
        <w:rPr>
          <w:rFonts w:hint="eastAsia" w:eastAsia="方正仿宋简体"/>
          <w:snapToGrid w:val="0"/>
          <w:spacing w:val="6"/>
          <w:kern w:val="0"/>
          <w:sz w:val="32"/>
          <w:szCs w:val="32"/>
        </w:rPr>
        <w:t>%</w:t>
      </w:r>
      <w:r>
        <w:rPr>
          <w:rFonts w:eastAsia="方正仿宋简体"/>
          <w:snapToGrid w:val="0"/>
          <w:spacing w:val="6"/>
          <w:kern w:val="0"/>
          <w:sz w:val="32"/>
          <w:szCs w:val="32"/>
        </w:rPr>
        <w:t>、70</w:t>
      </w:r>
      <w:r>
        <w:rPr>
          <w:rFonts w:hint="eastAsia" w:eastAsia="方正仿宋简体"/>
          <w:snapToGrid w:val="0"/>
          <w:spacing w:val="6"/>
          <w:kern w:val="0"/>
          <w:sz w:val="32"/>
          <w:szCs w:val="32"/>
        </w:rPr>
        <w:t>%</w:t>
      </w:r>
      <w:r>
        <w:rPr>
          <w:rFonts w:eastAsia="方正仿宋简体"/>
          <w:snapToGrid w:val="0"/>
          <w:spacing w:val="6"/>
          <w:kern w:val="0"/>
          <w:sz w:val="32"/>
          <w:szCs w:val="32"/>
        </w:rPr>
        <w:t>。同一人才按就高不就低的原则，每人每年只享受最高一次的配套资金和绩效奖励。引进的</w:t>
      </w:r>
      <w:r>
        <w:rPr>
          <w:rFonts w:hint="eastAsia" w:eastAsia="方正仿宋简体"/>
          <w:snapToGrid w:val="0"/>
          <w:spacing w:val="6"/>
          <w:kern w:val="0"/>
          <w:sz w:val="32"/>
          <w:szCs w:val="32"/>
        </w:rPr>
        <w:t>“</w:t>
      </w:r>
      <w:r>
        <w:rPr>
          <w:rFonts w:eastAsia="方正仿宋简体"/>
          <w:snapToGrid w:val="0"/>
          <w:spacing w:val="6"/>
          <w:kern w:val="0"/>
          <w:sz w:val="32"/>
          <w:szCs w:val="32"/>
        </w:rPr>
        <w:t>三名一优</w:t>
      </w:r>
      <w:r>
        <w:rPr>
          <w:rFonts w:hint="eastAsia" w:eastAsia="方正仿宋简体"/>
          <w:snapToGrid w:val="0"/>
          <w:spacing w:val="6"/>
          <w:kern w:val="0"/>
          <w:sz w:val="32"/>
          <w:szCs w:val="32"/>
        </w:rPr>
        <w:t>”</w:t>
      </w:r>
      <w:r>
        <w:rPr>
          <w:rFonts w:eastAsia="方正仿宋简体"/>
          <w:snapToGrid w:val="0"/>
          <w:spacing w:val="6"/>
          <w:kern w:val="0"/>
          <w:sz w:val="32"/>
          <w:szCs w:val="32"/>
        </w:rPr>
        <w:t>人才，其配偶就业安排、待业生活补贴和子女入学参照第四项相关规定办理。</w:t>
      </w:r>
    </w:p>
    <w:p>
      <w:pPr>
        <w:spacing w:line="556" w:lineRule="exact"/>
        <w:ind w:firstLine="664" w:firstLineChars="200"/>
        <w:rPr>
          <w:rFonts w:ascii="方正黑体简体" w:hAnsi="方正黑体简体" w:eastAsia="方正黑体简体" w:cs="方正黑体简体"/>
          <w:snapToGrid w:val="0"/>
          <w:spacing w:val="6"/>
          <w:kern w:val="0"/>
          <w:sz w:val="32"/>
          <w:szCs w:val="32"/>
        </w:rPr>
      </w:pPr>
      <w:r>
        <w:rPr>
          <w:rFonts w:eastAsia="方正仿宋简体"/>
          <w:snapToGrid w:val="0"/>
          <w:spacing w:val="6"/>
          <w:kern w:val="0"/>
          <w:sz w:val="32"/>
          <w:szCs w:val="32"/>
        </w:rPr>
        <w:t>加强教育领军人物培育力度，推动学校争先创优。实施年度</w:t>
      </w:r>
      <w:r>
        <w:rPr>
          <w:rFonts w:hint="eastAsia" w:eastAsia="方正仿宋简体"/>
          <w:snapToGrid w:val="0"/>
          <w:spacing w:val="6"/>
          <w:kern w:val="0"/>
          <w:sz w:val="32"/>
          <w:szCs w:val="32"/>
        </w:rPr>
        <w:t>“</w:t>
      </w:r>
      <w:r>
        <w:rPr>
          <w:rFonts w:eastAsia="方正仿宋简体"/>
          <w:snapToGrid w:val="0"/>
          <w:spacing w:val="6"/>
          <w:kern w:val="0"/>
          <w:sz w:val="32"/>
          <w:szCs w:val="32"/>
        </w:rPr>
        <w:t>最佳发展学校</w:t>
      </w:r>
      <w:r>
        <w:rPr>
          <w:rFonts w:hint="eastAsia" w:eastAsia="方正仿宋简体"/>
          <w:snapToGrid w:val="0"/>
          <w:spacing w:val="6"/>
          <w:kern w:val="0"/>
          <w:sz w:val="32"/>
          <w:szCs w:val="32"/>
        </w:rPr>
        <w:t>”</w:t>
      </w:r>
      <w:r>
        <w:rPr>
          <w:rFonts w:eastAsia="方正仿宋简体"/>
          <w:snapToGrid w:val="0"/>
          <w:spacing w:val="6"/>
          <w:kern w:val="0"/>
          <w:sz w:val="32"/>
          <w:szCs w:val="32"/>
        </w:rPr>
        <w:t>评选，由区教育局根据全区公办学校年度办学业绩情况，评选出年度</w:t>
      </w:r>
      <w:r>
        <w:rPr>
          <w:rFonts w:hint="eastAsia" w:eastAsia="方正仿宋简体"/>
          <w:snapToGrid w:val="0"/>
          <w:spacing w:val="6"/>
          <w:kern w:val="0"/>
          <w:sz w:val="32"/>
          <w:szCs w:val="32"/>
        </w:rPr>
        <w:t>“</w:t>
      </w:r>
      <w:r>
        <w:rPr>
          <w:rFonts w:eastAsia="方正仿宋简体"/>
          <w:snapToGrid w:val="0"/>
          <w:spacing w:val="6"/>
          <w:kern w:val="0"/>
          <w:sz w:val="32"/>
          <w:szCs w:val="32"/>
        </w:rPr>
        <w:t>最佳发展学校</w:t>
      </w:r>
      <w:r>
        <w:rPr>
          <w:rFonts w:hint="eastAsia" w:eastAsia="方正仿宋简体"/>
          <w:snapToGrid w:val="0"/>
          <w:spacing w:val="6"/>
          <w:kern w:val="0"/>
          <w:sz w:val="32"/>
          <w:szCs w:val="32"/>
        </w:rPr>
        <w:t>”</w:t>
      </w:r>
      <w:r>
        <w:rPr>
          <w:rFonts w:eastAsia="方正仿宋简体"/>
          <w:snapToGrid w:val="0"/>
          <w:spacing w:val="6"/>
          <w:kern w:val="0"/>
          <w:sz w:val="32"/>
          <w:szCs w:val="32"/>
        </w:rPr>
        <w:t>，其中：高（完）中学校1所、初中学校1所、小学2所、幼儿园1所，评选结果报区人才</w:t>
      </w:r>
      <w:r>
        <w:rPr>
          <w:rFonts w:hint="eastAsia" w:eastAsia="方正仿宋简体"/>
          <w:snapToGrid w:val="0"/>
          <w:spacing w:val="6"/>
          <w:kern w:val="0"/>
          <w:sz w:val="32"/>
          <w:szCs w:val="32"/>
        </w:rPr>
        <w:t>工作</w:t>
      </w:r>
      <w:r>
        <w:rPr>
          <w:rFonts w:eastAsia="方正仿宋简体"/>
          <w:snapToGrid w:val="0"/>
          <w:spacing w:val="6"/>
          <w:kern w:val="0"/>
          <w:sz w:val="32"/>
          <w:szCs w:val="32"/>
        </w:rPr>
        <w:t>领导小组审核同意，给予</w:t>
      </w:r>
      <w:r>
        <w:rPr>
          <w:rFonts w:hint="eastAsia" w:eastAsia="方正仿宋简体"/>
          <w:snapToGrid w:val="0"/>
          <w:spacing w:val="6"/>
          <w:kern w:val="0"/>
          <w:sz w:val="32"/>
          <w:szCs w:val="32"/>
        </w:rPr>
        <w:t>“</w:t>
      </w:r>
      <w:r>
        <w:rPr>
          <w:rFonts w:eastAsia="方正仿宋简体"/>
          <w:snapToGrid w:val="0"/>
          <w:spacing w:val="6"/>
          <w:kern w:val="0"/>
          <w:sz w:val="32"/>
          <w:szCs w:val="32"/>
        </w:rPr>
        <w:t>最佳发展学校</w:t>
      </w:r>
      <w:r>
        <w:rPr>
          <w:rFonts w:hint="eastAsia" w:eastAsia="方正仿宋简体"/>
          <w:snapToGrid w:val="0"/>
          <w:spacing w:val="6"/>
          <w:kern w:val="0"/>
          <w:sz w:val="32"/>
          <w:szCs w:val="32"/>
        </w:rPr>
        <w:t>”</w:t>
      </w:r>
      <w:r>
        <w:rPr>
          <w:rFonts w:eastAsia="方正仿宋简体"/>
          <w:snapToGrid w:val="0"/>
          <w:spacing w:val="6"/>
          <w:kern w:val="0"/>
          <w:sz w:val="32"/>
          <w:szCs w:val="32"/>
        </w:rPr>
        <w:t>校长（园长）个人年终一次性绩效奖励2万元。</w:t>
      </w:r>
      <w:r>
        <w:rPr>
          <w:rFonts w:hint="eastAsia" w:eastAsia="方正仿宋简体"/>
          <w:snapToGrid w:val="0"/>
          <w:spacing w:val="6"/>
          <w:kern w:val="0"/>
          <w:sz w:val="32"/>
          <w:szCs w:val="32"/>
        </w:rPr>
        <w:t>“</w:t>
      </w:r>
      <w:r>
        <w:rPr>
          <w:rFonts w:eastAsia="方正仿宋简体"/>
          <w:snapToGrid w:val="0"/>
          <w:spacing w:val="6"/>
          <w:kern w:val="0"/>
          <w:sz w:val="32"/>
          <w:szCs w:val="32"/>
        </w:rPr>
        <w:t>三名一优</w:t>
      </w:r>
      <w:r>
        <w:rPr>
          <w:rFonts w:hint="eastAsia" w:eastAsia="方正仿宋简体"/>
          <w:snapToGrid w:val="0"/>
          <w:spacing w:val="6"/>
          <w:kern w:val="0"/>
          <w:sz w:val="32"/>
          <w:szCs w:val="32"/>
        </w:rPr>
        <w:t>”</w:t>
      </w:r>
      <w:r>
        <w:rPr>
          <w:rFonts w:eastAsia="方正仿宋简体"/>
          <w:snapToGrid w:val="0"/>
          <w:spacing w:val="6"/>
          <w:kern w:val="0"/>
          <w:sz w:val="32"/>
          <w:szCs w:val="32"/>
        </w:rPr>
        <w:t>人才绩效考核名额与</w:t>
      </w:r>
      <w:r>
        <w:rPr>
          <w:rFonts w:hint="eastAsia" w:eastAsia="方正仿宋简体"/>
          <w:snapToGrid w:val="0"/>
          <w:spacing w:val="6"/>
          <w:kern w:val="0"/>
          <w:sz w:val="32"/>
          <w:szCs w:val="32"/>
        </w:rPr>
        <w:t>“</w:t>
      </w:r>
      <w:r>
        <w:rPr>
          <w:rFonts w:eastAsia="方正仿宋简体"/>
          <w:snapToGrid w:val="0"/>
          <w:spacing w:val="6"/>
          <w:kern w:val="0"/>
          <w:sz w:val="32"/>
          <w:szCs w:val="32"/>
        </w:rPr>
        <w:t>最佳发展学校</w:t>
      </w:r>
      <w:r>
        <w:rPr>
          <w:rFonts w:hint="eastAsia" w:eastAsia="方正仿宋简体"/>
          <w:snapToGrid w:val="0"/>
          <w:spacing w:val="6"/>
          <w:kern w:val="0"/>
          <w:sz w:val="32"/>
          <w:szCs w:val="32"/>
        </w:rPr>
        <w:t>”</w:t>
      </w:r>
      <w:r>
        <w:rPr>
          <w:rFonts w:eastAsia="方正仿宋简体"/>
          <w:snapToGrid w:val="0"/>
          <w:spacing w:val="6"/>
          <w:kern w:val="0"/>
          <w:sz w:val="32"/>
          <w:szCs w:val="32"/>
        </w:rPr>
        <w:t>考核名额不互相挤占。</w:t>
      </w:r>
      <w:r>
        <w:rPr>
          <w:rFonts w:hint="eastAsia" w:ascii="方正黑体简体" w:hAnsi="方正黑体简体" w:eastAsia="方正黑体简体" w:cs="方正黑体简体"/>
          <w:snapToGrid w:val="0"/>
          <w:spacing w:val="6"/>
          <w:kern w:val="0"/>
          <w:sz w:val="32"/>
          <w:szCs w:val="32"/>
        </w:rPr>
        <w:t>（牵头单位：区教育局）</w:t>
      </w:r>
    </w:p>
    <w:p>
      <w:pPr>
        <w:spacing w:line="556" w:lineRule="exact"/>
        <w:ind w:firstLine="664" w:firstLineChars="200"/>
        <w:rPr>
          <w:rFonts w:ascii="方正黑体简体" w:hAnsi="方正黑体简体" w:eastAsia="方正黑体简体" w:cs="方正黑体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（六）实施“金平名医工作室”品牌建设计划。</w:t>
      </w:r>
      <w:r>
        <w:rPr>
          <w:rFonts w:eastAsia="方正仿宋简体"/>
          <w:snapToGrid w:val="0"/>
          <w:spacing w:val="6"/>
          <w:kern w:val="0"/>
          <w:sz w:val="32"/>
          <w:szCs w:val="32"/>
        </w:rPr>
        <w:t>加大学科带头人引进培育力度，3年内引进或培养10名</w:t>
      </w:r>
      <w:r>
        <w:rPr>
          <w:rFonts w:hint="eastAsia" w:eastAsia="方正仿宋简体"/>
          <w:snapToGrid w:val="0"/>
          <w:spacing w:val="6"/>
          <w:kern w:val="0"/>
          <w:sz w:val="32"/>
          <w:szCs w:val="32"/>
        </w:rPr>
        <w:t>“</w:t>
      </w:r>
      <w:r>
        <w:rPr>
          <w:rFonts w:eastAsia="方正仿宋简体"/>
          <w:snapToGrid w:val="0"/>
          <w:spacing w:val="6"/>
          <w:kern w:val="0"/>
          <w:sz w:val="32"/>
          <w:szCs w:val="32"/>
        </w:rPr>
        <w:t>金平名医工作室</w:t>
      </w:r>
      <w:r>
        <w:rPr>
          <w:rFonts w:hint="eastAsia" w:eastAsia="方正仿宋简体"/>
          <w:snapToGrid w:val="0"/>
          <w:spacing w:val="6"/>
          <w:kern w:val="0"/>
          <w:sz w:val="32"/>
          <w:szCs w:val="32"/>
        </w:rPr>
        <w:t>”</w:t>
      </w:r>
      <w:r>
        <w:rPr>
          <w:rFonts w:eastAsia="方正仿宋简体"/>
          <w:snapToGrid w:val="0"/>
          <w:spacing w:val="6"/>
          <w:kern w:val="0"/>
          <w:sz w:val="32"/>
          <w:szCs w:val="32"/>
        </w:rPr>
        <w:t>学科带头人，在工作室的学科建设周期内，提供每人每年5万元工作室工作经费；由</w:t>
      </w:r>
      <w:r>
        <w:rPr>
          <w:rFonts w:hint="eastAsia" w:eastAsia="方正仿宋简体"/>
          <w:snapToGrid w:val="0"/>
          <w:spacing w:val="6"/>
          <w:kern w:val="0"/>
          <w:sz w:val="32"/>
          <w:szCs w:val="32"/>
        </w:rPr>
        <w:t>区卫生健康</w:t>
      </w:r>
      <w:r>
        <w:rPr>
          <w:rFonts w:eastAsia="方正仿宋简体"/>
          <w:snapToGrid w:val="0"/>
          <w:spacing w:val="6"/>
          <w:kern w:val="0"/>
          <w:sz w:val="32"/>
          <w:szCs w:val="32"/>
        </w:rPr>
        <w:t>局每年进行考核，考核结果报区人才</w:t>
      </w:r>
      <w:r>
        <w:rPr>
          <w:rFonts w:hint="eastAsia" w:eastAsia="方正仿宋简体"/>
          <w:snapToGrid w:val="0"/>
          <w:spacing w:val="6"/>
          <w:kern w:val="0"/>
          <w:sz w:val="32"/>
          <w:szCs w:val="32"/>
        </w:rPr>
        <w:t>工作</w:t>
      </w:r>
      <w:r>
        <w:rPr>
          <w:rFonts w:eastAsia="方正仿宋简体"/>
          <w:snapToGrid w:val="0"/>
          <w:spacing w:val="6"/>
          <w:kern w:val="0"/>
          <w:sz w:val="32"/>
          <w:szCs w:val="32"/>
        </w:rPr>
        <w:t>领导小组审核同意后，对考核合格的给予每人年终一次性绩效奖励2万元。</w:t>
      </w:r>
      <w:r>
        <w:rPr>
          <w:rFonts w:hint="eastAsia" w:ascii="方正黑体简体" w:hAnsi="方正黑体简体" w:eastAsia="方正黑体简体" w:cs="方正黑体简体"/>
          <w:snapToGrid w:val="0"/>
          <w:spacing w:val="6"/>
          <w:kern w:val="0"/>
          <w:sz w:val="32"/>
          <w:szCs w:val="32"/>
        </w:rPr>
        <w:t>（牵头单位：区卫生健康局）</w:t>
      </w:r>
    </w:p>
    <w:p>
      <w:pPr>
        <w:spacing w:line="556" w:lineRule="exact"/>
        <w:ind w:firstLine="664" w:firstLineChars="200"/>
        <w:rPr>
          <w:rFonts w:hint="eastAsia" w:ascii="方正黑体简体" w:hAnsi="方正黑体简体" w:eastAsia="方正黑体简体" w:cs="方正黑体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（七）实施企业高技能人才培养计划。</w:t>
      </w:r>
      <w:r>
        <w:rPr>
          <w:rFonts w:eastAsia="方正仿宋简体"/>
          <w:snapToGrid w:val="0"/>
          <w:spacing w:val="6"/>
          <w:kern w:val="0"/>
          <w:sz w:val="32"/>
          <w:szCs w:val="32"/>
        </w:rPr>
        <w:t>加大行业中、高级技能型人才培养力度。择优选取不超过100名中、高级技工纳入技能人才培养计划，以3年为一个培养周期，培养期内鼓励积极参加相关工种（专业）培训，对取得国家职业资格证书或职业技能等级证书，从中级工晋升为高级工的每人给予一次性1000元晋级补贴，从高级工晋升为技师的每人给予一次性2000元晋级补贴，从技师晋升为高级技师的每人给予一次性3000元晋级补贴；在企业内以师带徒、培养技能人才方面做出突出贡献的，由所在企业推荐证明，经主管部门审核，每人给予一次性5000元补贴；技能人才获评国家、省、市首席技师或技能大师工作室的，分别给予5万元、3万元、1万元工作补贴；技能人才申报发明专利且在发明人中排名前2位的，每人给予一次性5000元科研补贴。每年推选</w:t>
      </w:r>
      <w:r>
        <w:rPr>
          <w:rFonts w:hint="eastAsia" w:eastAsia="方正仿宋简体"/>
          <w:snapToGrid w:val="0"/>
          <w:spacing w:val="6"/>
          <w:kern w:val="0"/>
          <w:sz w:val="32"/>
          <w:szCs w:val="32"/>
        </w:rPr>
        <w:t>“</w:t>
      </w:r>
      <w:r>
        <w:rPr>
          <w:rFonts w:eastAsia="方正仿宋简体"/>
          <w:snapToGrid w:val="0"/>
          <w:spacing w:val="6"/>
          <w:kern w:val="0"/>
          <w:sz w:val="32"/>
          <w:szCs w:val="32"/>
        </w:rPr>
        <w:t>金平十大工匠</w:t>
      </w:r>
      <w:r>
        <w:rPr>
          <w:rFonts w:hint="eastAsia" w:eastAsia="方正仿宋简体"/>
          <w:snapToGrid w:val="0"/>
          <w:spacing w:val="6"/>
          <w:kern w:val="0"/>
          <w:sz w:val="32"/>
          <w:szCs w:val="32"/>
        </w:rPr>
        <w:t>”</w:t>
      </w:r>
      <w:r>
        <w:rPr>
          <w:rFonts w:eastAsia="方正仿宋简体"/>
          <w:snapToGrid w:val="0"/>
          <w:spacing w:val="6"/>
          <w:kern w:val="0"/>
          <w:sz w:val="32"/>
          <w:szCs w:val="32"/>
        </w:rPr>
        <w:t>，通过企业自荐、行业推荐、专家评审、公众投票等方式，发掘重点行业、重点企业中的高技能人才，对入选人才进行公开宣传和鼓励激励，展示金平工业亮点、打造金平工业名片，弘扬工匠精神，倡导实业兴区。</w:t>
      </w:r>
      <w:r>
        <w:rPr>
          <w:rFonts w:hint="eastAsia" w:ascii="方正黑体简体" w:hAnsi="方正黑体简体" w:eastAsia="方正黑体简体" w:cs="方正黑体简体"/>
          <w:snapToGrid w:val="0"/>
          <w:spacing w:val="6"/>
          <w:kern w:val="0"/>
          <w:sz w:val="32"/>
          <w:szCs w:val="32"/>
        </w:rPr>
        <w:t>（牵头单位：区人力资源社会保障局、区工业和信息化局）</w:t>
      </w:r>
    </w:p>
    <w:p>
      <w:pPr>
        <w:spacing w:line="556" w:lineRule="exact"/>
        <w:ind w:firstLine="664" w:firstLineChars="200"/>
        <w:rPr>
          <w:rFonts w:hint="eastAsia" w:ascii="方正黑体简体" w:hAnsi="方正黑体简体" w:eastAsia="方正黑体简体" w:cs="方正黑体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（八）实施企业科技带头人激励计划。</w:t>
      </w:r>
      <w:r>
        <w:rPr>
          <w:rFonts w:eastAsia="方正仿宋简体"/>
          <w:snapToGrid w:val="0"/>
          <w:spacing w:val="6"/>
          <w:kern w:val="0"/>
          <w:sz w:val="32"/>
          <w:szCs w:val="32"/>
        </w:rPr>
        <w:t>大力培养企业科技带头人。鼓励支持企业专业技术人才积极开展科研工作，在所申报科技项目中排名前2位且具有中级专业技术以上职称的，申报项目入选国家级的给予每人一次性10万元生活补贴，入选省级的给予每人一次性2万元生活补贴。同一技术人才入选不同层次科技项目的，按就高不就低的原则，只享受最高一项生活补贴。鼓励支持企业技术人员参加学位继续教育，参加符合本行业本企业专业要求的学位继续教育，取得博士学位的给予每人一次性2万元继续教育补贴，取得硕士学位的给予每人一次性1万元继续教育补贴。</w:t>
      </w:r>
      <w:r>
        <w:rPr>
          <w:rFonts w:hint="eastAsia" w:ascii="方正黑体简体" w:hAnsi="方正黑体简体" w:eastAsia="方正黑体简体" w:cs="方正黑体简体"/>
          <w:snapToGrid w:val="0"/>
          <w:spacing w:val="6"/>
          <w:kern w:val="0"/>
          <w:sz w:val="32"/>
          <w:szCs w:val="32"/>
        </w:rPr>
        <w:t>（牵头单位：区科技局）</w:t>
      </w:r>
    </w:p>
    <w:p>
      <w:pPr>
        <w:spacing w:line="556" w:lineRule="exact"/>
        <w:ind w:firstLine="664" w:firstLineChars="200"/>
        <w:rPr>
          <w:rFonts w:hint="eastAsia" w:ascii="方正黑体简体" w:hAnsi="方正黑体简体" w:eastAsia="方正黑体简体" w:cs="方正黑体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（九）实施拔尖人才提质计划。</w:t>
      </w:r>
      <w:r>
        <w:rPr>
          <w:rFonts w:eastAsia="方正仿宋简体"/>
          <w:snapToGrid w:val="0"/>
          <w:spacing w:val="6"/>
          <w:kern w:val="0"/>
          <w:sz w:val="32"/>
          <w:szCs w:val="32"/>
        </w:rPr>
        <w:t>继续加强区管拔尖人才服务管理工作，根据区经济发展情况，相应提高各项福利待遇水平，丰富服务和培养方式；进一步细化完善拔尖人才选拔培养、动态管理和考核激励等各项制度，出台《金平区拔尖人才实绩考核实施细则》，激活拔尖人才示范、引领和举荐人才的作用；开通拔尖人才选拔绿色通道，入选本区各类人才计划</w:t>
      </w:r>
      <w:r>
        <w:rPr>
          <w:rFonts w:hint="eastAsia" w:eastAsia="方正仿宋简体"/>
          <w:snapToGrid w:val="0"/>
          <w:spacing w:val="6"/>
          <w:kern w:val="0"/>
          <w:sz w:val="32"/>
          <w:szCs w:val="32"/>
        </w:rPr>
        <w:t>的对象</w:t>
      </w:r>
      <w:r>
        <w:rPr>
          <w:rFonts w:eastAsia="方正仿宋简体"/>
          <w:snapToGrid w:val="0"/>
          <w:spacing w:val="6"/>
          <w:kern w:val="0"/>
          <w:sz w:val="32"/>
          <w:szCs w:val="32"/>
        </w:rPr>
        <w:t>且表现优秀的，可直接纳管为区拔尖人才，享受相关福利待遇。</w:t>
      </w:r>
      <w:r>
        <w:rPr>
          <w:rFonts w:hint="eastAsia" w:ascii="方正黑体简体" w:hAnsi="方正黑体简体" w:eastAsia="方正黑体简体" w:cs="方正黑体简体"/>
          <w:snapToGrid w:val="0"/>
          <w:spacing w:val="6"/>
          <w:kern w:val="0"/>
          <w:sz w:val="32"/>
          <w:szCs w:val="32"/>
        </w:rPr>
        <w:t>（牵头单位：区委组织部）</w:t>
      </w:r>
    </w:p>
    <w:p>
      <w:pPr>
        <w:spacing w:line="556" w:lineRule="exact"/>
        <w:ind w:firstLine="664" w:firstLineChars="200"/>
        <w:rPr>
          <w:rFonts w:hint="eastAsia" w:ascii="方正黑体简体" w:hAnsi="方正黑体简体" w:eastAsia="方正黑体简体" w:cs="方正黑体简体"/>
          <w:snapToGrid w:val="0"/>
          <w:spacing w:val="6"/>
          <w:kern w:val="0"/>
          <w:sz w:val="32"/>
          <w:szCs w:val="32"/>
        </w:rPr>
      </w:pPr>
      <w:r>
        <w:rPr>
          <w:rFonts w:hint="eastAsia" w:ascii="方正黑体简体" w:hAnsi="方正黑体简体" w:eastAsia="方正黑体简体" w:cs="方正黑体简体"/>
          <w:snapToGrid w:val="0"/>
          <w:spacing w:val="6"/>
          <w:kern w:val="0"/>
          <w:sz w:val="32"/>
          <w:szCs w:val="32"/>
        </w:rPr>
        <w:t>三、加强人才平台载体建设</w:t>
      </w:r>
    </w:p>
    <w:p>
      <w:pPr>
        <w:spacing w:line="556" w:lineRule="exact"/>
        <w:ind w:firstLine="664" w:firstLineChars="200"/>
        <w:rPr>
          <w:rFonts w:ascii="方正黑体简体" w:hAnsi="方正黑体简体" w:eastAsia="方正黑体简体" w:cs="方正黑体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（十）扶持特色优势产业创新创业平台。</w:t>
      </w:r>
      <w:r>
        <w:rPr>
          <w:rFonts w:eastAsia="方正仿宋简体"/>
          <w:snapToGrid w:val="0"/>
          <w:spacing w:val="6"/>
          <w:kern w:val="0"/>
          <w:sz w:val="32"/>
          <w:szCs w:val="32"/>
        </w:rPr>
        <w:t>围绕区委重点产业布局，建立人才创新创业平台示范点，发挥平台在研发孵化、引进培养、服务人才等方面的功能作用，每年择优选取2</w:t>
      </w:r>
      <w:r>
        <w:rPr>
          <w:rFonts w:hint="eastAsia" w:eastAsia="方正仿宋简体"/>
          <w:snapToGrid w:val="0"/>
          <w:spacing w:val="6"/>
          <w:kern w:val="0"/>
          <w:sz w:val="32"/>
          <w:szCs w:val="32"/>
        </w:rPr>
        <w:t>—</w:t>
      </w:r>
      <w:r>
        <w:rPr>
          <w:rFonts w:eastAsia="方正仿宋简体"/>
          <w:snapToGrid w:val="0"/>
          <w:spacing w:val="6"/>
          <w:kern w:val="0"/>
          <w:sz w:val="32"/>
          <w:szCs w:val="32"/>
        </w:rPr>
        <w:t>3个具备成长发展潜力的特色优势产业创新创业服务平台建设项目，分别</w:t>
      </w:r>
      <w:r>
        <w:rPr>
          <w:rFonts w:hint="eastAsia" w:eastAsia="方正仿宋简体"/>
          <w:snapToGrid w:val="0"/>
          <w:spacing w:val="6"/>
          <w:kern w:val="0"/>
          <w:sz w:val="32"/>
          <w:szCs w:val="32"/>
        </w:rPr>
        <w:t>给予</w:t>
      </w:r>
      <w:r>
        <w:rPr>
          <w:rFonts w:eastAsia="方正仿宋简体"/>
          <w:snapToGrid w:val="0"/>
          <w:spacing w:val="6"/>
          <w:kern w:val="0"/>
          <w:sz w:val="32"/>
          <w:szCs w:val="32"/>
        </w:rPr>
        <w:t>10万元经费扶持，推进产学研深入交流合作，推动平台实现人才引进使用、项目培育、科研创新和经济效益上的突破，带动区域和产业引才聚才环境氛围的有效提升。</w:t>
      </w:r>
      <w:r>
        <w:rPr>
          <w:rFonts w:hint="eastAsia" w:ascii="方正黑体简体" w:hAnsi="方正黑体简体" w:eastAsia="方正黑体简体" w:cs="方正黑体简体"/>
          <w:snapToGrid w:val="0"/>
          <w:spacing w:val="6"/>
          <w:kern w:val="0"/>
          <w:sz w:val="32"/>
          <w:szCs w:val="32"/>
        </w:rPr>
        <w:t>（牵头单位：区科技局）</w:t>
      </w:r>
    </w:p>
    <w:p>
      <w:pPr>
        <w:spacing w:line="556" w:lineRule="exact"/>
        <w:ind w:firstLine="664" w:firstLineChars="200"/>
        <w:rPr>
          <w:rFonts w:eastAsia="方正仿宋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（十一）打造最具特色的潮汕文艺人才工作平台。</w:t>
      </w:r>
      <w:r>
        <w:rPr>
          <w:rFonts w:eastAsia="方正仿宋简体"/>
          <w:snapToGrid w:val="0"/>
          <w:spacing w:val="6"/>
          <w:kern w:val="0"/>
          <w:sz w:val="32"/>
          <w:szCs w:val="32"/>
        </w:rPr>
        <w:t>在小公园打造潮汕文艺人才一条街，按照</w:t>
      </w:r>
      <w:r>
        <w:rPr>
          <w:rFonts w:hint="eastAsia" w:eastAsia="方正仿宋简体"/>
          <w:snapToGrid w:val="0"/>
          <w:spacing w:val="6"/>
          <w:kern w:val="0"/>
          <w:sz w:val="32"/>
          <w:szCs w:val="32"/>
        </w:rPr>
        <w:t>“</w:t>
      </w:r>
      <w:r>
        <w:rPr>
          <w:rFonts w:eastAsia="方正仿宋简体"/>
          <w:snapToGrid w:val="0"/>
          <w:spacing w:val="6"/>
          <w:kern w:val="0"/>
          <w:sz w:val="32"/>
          <w:szCs w:val="32"/>
        </w:rPr>
        <w:t>集中展示全市最具影响力的艺术门类、最具活力的潮汕民间技艺及其最具代表性人才优秀成果</w:t>
      </w:r>
      <w:r>
        <w:rPr>
          <w:rFonts w:hint="eastAsia" w:eastAsia="方正仿宋简体"/>
          <w:snapToGrid w:val="0"/>
          <w:spacing w:val="6"/>
          <w:kern w:val="0"/>
          <w:sz w:val="32"/>
          <w:szCs w:val="32"/>
        </w:rPr>
        <w:t>”</w:t>
      </w:r>
      <w:r>
        <w:rPr>
          <w:rFonts w:eastAsia="方正仿宋简体"/>
          <w:snapToGrid w:val="0"/>
          <w:spacing w:val="6"/>
          <w:kern w:val="0"/>
          <w:sz w:val="32"/>
          <w:szCs w:val="32"/>
        </w:rPr>
        <w:t>的原则，邀请一批潮汕工艺大师入驻并设立工作室，为工作室新建运营、举办各类公益性展示潮汕文艺宣传交流活动提供场地支持和一定额度的经费扶持</w:t>
      </w:r>
      <w:r>
        <w:rPr>
          <w:rFonts w:hint="eastAsia" w:eastAsia="方正仿宋简体"/>
          <w:snapToGrid w:val="0"/>
          <w:spacing w:val="6"/>
          <w:kern w:val="0"/>
          <w:sz w:val="32"/>
          <w:szCs w:val="32"/>
        </w:rPr>
        <w:t>。</w:t>
      </w:r>
      <w:r>
        <w:rPr>
          <w:rFonts w:eastAsia="方正仿宋简体"/>
          <w:snapToGrid w:val="0"/>
          <w:spacing w:val="6"/>
          <w:kern w:val="0"/>
          <w:sz w:val="32"/>
          <w:szCs w:val="32"/>
        </w:rPr>
        <w:t>制定《潮汕文艺人才交流中心管理办法》，发挥潮汕文艺人才交流中心（市人才驿站金平分站）的平台优势，入选区各类人才计划的对象，可申请免费在交流中心举办符合本人专业或本单位行业要求的交流活动。</w:t>
      </w:r>
      <w:r>
        <w:rPr>
          <w:rFonts w:hint="eastAsia" w:ascii="方正黑体简体" w:hAnsi="方正黑体简体" w:eastAsia="方正黑体简体" w:cs="方正黑体简体"/>
          <w:snapToGrid w:val="0"/>
          <w:spacing w:val="6"/>
          <w:kern w:val="0"/>
          <w:sz w:val="32"/>
          <w:szCs w:val="32"/>
        </w:rPr>
        <w:t>（牵头单位：区委组织部）</w:t>
      </w:r>
    </w:p>
    <w:p>
      <w:pPr>
        <w:spacing w:line="556" w:lineRule="exact"/>
        <w:ind w:firstLine="664" w:firstLineChars="200"/>
        <w:rPr>
          <w:rFonts w:hint="eastAsia" w:ascii="方正黑体简体" w:hAnsi="方正黑体简体" w:eastAsia="方正黑体简体" w:cs="方正黑体简体"/>
          <w:snapToGrid w:val="0"/>
          <w:spacing w:val="6"/>
          <w:kern w:val="0"/>
          <w:sz w:val="32"/>
          <w:szCs w:val="32"/>
        </w:rPr>
      </w:pPr>
      <w:r>
        <w:rPr>
          <w:rFonts w:hint="eastAsia" w:ascii="方正黑体简体" w:hAnsi="方正黑体简体" w:eastAsia="方正黑体简体" w:cs="方正黑体简体"/>
          <w:snapToGrid w:val="0"/>
          <w:spacing w:val="6"/>
          <w:kern w:val="0"/>
          <w:sz w:val="32"/>
          <w:szCs w:val="32"/>
        </w:rPr>
        <w:t>四、优化人才服务保障机制</w:t>
      </w:r>
    </w:p>
    <w:p>
      <w:pPr>
        <w:spacing w:line="556" w:lineRule="exact"/>
        <w:ind w:firstLine="664" w:firstLineChars="200"/>
        <w:rPr>
          <w:rFonts w:ascii="方正黑体简体" w:hAnsi="方正黑体简体" w:eastAsia="方正黑体简体" w:cs="方正黑体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（十二）建立人才编制管理和岗位聘用机制。</w:t>
      </w:r>
      <w:r>
        <w:rPr>
          <w:rFonts w:eastAsia="方正仿宋简体"/>
          <w:snapToGrid w:val="0"/>
          <w:spacing w:val="6"/>
          <w:kern w:val="0"/>
          <w:sz w:val="32"/>
          <w:szCs w:val="32"/>
        </w:rPr>
        <w:t>在区级事业单位编制控制基数内调剂一定数量的事业编制，建立</w:t>
      </w:r>
      <w:r>
        <w:rPr>
          <w:rFonts w:hint="eastAsia" w:eastAsia="方正仿宋简体"/>
          <w:snapToGrid w:val="0"/>
          <w:spacing w:val="6"/>
          <w:kern w:val="0"/>
          <w:sz w:val="32"/>
          <w:szCs w:val="32"/>
        </w:rPr>
        <w:t>“</w:t>
      </w:r>
      <w:r>
        <w:rPr>
          <w:rFonts w:eastAsia="方正仿宋简体"/>
          <w:snapToGrid w:val="0"/>
          <w:spacing w:val="6"/>
          <w:kern w:val="0"/>
          <w:sz w:val="32"/>
          <w:szCs w:val="32"/>
        </w:rPr>
        <w:t>高层次人才事业编制周转池</w:t>
      </w:r>
      <w:r>
        <w:rPr>
          <w:rFonts w:hint="eastAsia" w:eastAsia="方正仿宋简体"/>
          <w:snapToGrid w:val="0"/>
          <w:spacing w:val="6"/>
          <w:kern w:val="0"/>
          <w:sz w:val="32"/>
          <w:szCs w:val="32"/>
        </w:rPr>
        <w:t>”</w:t>
      </w:r>
      <w:r>
        <w:rPr>
          <w:rFonts w:eastAsia="方正仿宋简体"/>
          <w:snapToGrid w:val="0"/>
          <w:spacing w:val="6"/>
          <w:kern w:val="0"/>
          <w:sz w:val="32"/>
          <w:szCs w:val="32"/>
        </w:rPr>
        <w:t>。没有空编的区属事业单位，由区委编办核定相应的周转编制，保障事业单位引进博（硕）士研究生用编需求。引进人才在职称评审、岗位聘用上不占用所在单位现有岗位数，由区人社局核准设置特设岗位，专门用于本意见规定的各类引进人才，不受用人单位岗位最高等级和结构比例限制。博士试用期满并考核合格的，职称评审可直接申报副高以上职称。工作成绩突出的，不受工作年限资历限制，可直接申报正高职称。硕士职称评审按有关规定执行。</w:t>
      </w:r>
      <w:r>
        <w:rPr>
          <w:rFonts w:hint="eastAsia" w:ascii="方正黑体简体" w:hAnsi="方正黑体简体" w:eastAsia="方正黑体简体" w:cs="方正黑体简体"/>
          <w:snapToGrid w:val="0"/>
          <w:spacing w:val="6"/>
          <w:kern w:val="0"/>
          <w:sz w:val="32"/>
          <w:szCs w:val="32"/>
        </w:rPr>
        <w:t>（牵头单位：区委编办、区人力资源社会保障局）</w:t>
      </w:r>
    </w:p>
    <w:p>
      <w:pPr>
        <w:spacing w:line="556" w:lineRule="exact"/>
        <w:ind w:firstLine="664" w:firstLineChars="200"/>
        <w:rPr>
          <w:rFonts w:eastAsia="方正仿宋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（十三）设立区人才发展专项资金。</w:t>
      </w:r>
      <w:r>
        <w:rPr>
          <w:rFonts w:eastAsia="方正仿宋简体"/>
          <w:snapToGrid w:val="0"/>
          <w:spacing w:val="6"/>
          <w:kern w:val="0"/>
          <w:sz w:val="32"/>
          <w:szCs w:val="32"/>
        </w:rPr>
        <w:t>本意见所列各项补贴资金中，</w:t>
      </w:r>
      <w:r>
        <w:rPr>
          <w:rFonts w:hint="eastAsia" w:eastAsia="方正仿宋简体"/>
          <w:snapToGrid w:val="0"/>
          <w:spacing w:val="6"/>
          <w:kern w:val="0"/>
          <w:sz w:val="32"/>
          <w:szCs w:val="32"/>
        </w:rPr>
        <w:t>“</w:t>
      </w:r>
      <w:r>
        <w:rPr>
          <w:rFonts w:eastAsia="方正仿宋简体"/>
          <w:snapToGrid w:val="0"/>
          <w:spacing w:val="6"/>
          <w:kern w:val="0"/>
          <w:sz w:val="32"/>
          <w:szCs w:val="32"/>
        </w:rPr>
        <w:t>三名一优</w:t>
      </w:r>
      <w:r>
        <w:rPr>
          <w:rFonts w:hint="eastAsia" w:eastAsia="方正仿宋简体"/>
          <w:snapToGrid w:val="0"/>
          <w:spacing w:val="6"/>
          <w:kern w:val="0"/>
          <w:sz w:val="32"/>
          <w:szCs w:val="32"/>
        </w:rPr>
        <w:t>”</w:t>
      </w:r>
      <w:r>
        <w:rPr>
          <w:rFonts w:eastAsia="方正仿宋简体"/>
          <w:snapToGrid w:val="0"/>
          <w:spacing w:val="6"/>
          <w:kern w:val="0"/>
          <w:sz w:val="32"/>
          <w:szCs w:val="32"/>
        </w:rPr>
        <w:t>人才工作室教科研和培训经费在上级下拨的</w:t>
      </w:r>
      <w:r>
        <w:rPr>
          <w:rFonts w:hint="eastAsia" w:eastAsia="方正仿宋简体"/>
          <w:snapToGrid w:val="0"/>
          <w:spacing w:val="6"/>
          <w:kern w:val="0"/>
          <w:sz w:val="32"/>
          <w:szCs w:val="32"/>
        </w:rPr>
        <w:t>“</w:t>
      </w:r>
      <w:r>
        <w:rPr>
          <w:rFonts w:eastAsia="方正仿宋简体"/>
          <w:snapToGrid w:val="0"/>
          <w:spacing w:val="6"/>
          <w:kern w:val="0"/>
          <w:sz w:val="32"/>
          <w:szCs w:val="32"/>
        </w:rPr>
        <w:t>强师工程</w:t>
      </w:r>
      <w:r>
        <w:rPr>
          <w:rFonts w:hint="eastAsia" w:eastAsia="方正仿宋简体"/>
          <w:snapToGrid w:val="0"/>
          <w:spacing w:val="6"/>
          <w:kern w:val="0"/>
          <w:sz w:val="32"/>
          <w:szCs w:val="32"/>
        </w:rPr>
        <w:t>”</w:t>
      </w:r>
      <w:r>
        <w:rPr>
          <w:rFonts w:eastAsia="方正仿宋简体"/>
          <w:snapToGrid w:val="0"/>
          <w:spacing w:val="6"/>
          <w:kern w:val="0"/>
          <w:sz w:val="32"/>
          <w:szCs w:val="32"/>
        </w:rPr>
        <w:t>专项资金和区教育专项资金中列支，其他均纳入区人才发展专项资金予以保障。区财政每年安排资金用于区人才发展专项资金预算，并根据实际需求逐年调整，保障主要人才计划和项目的实施。区人才工作领导小组办公室加强对人才发展专项资金的监督管理，建立财政性人才工作经费定期审计制度。发挥人才发展专项资金等政府投入资金的引导和撬动作用，建立政府、企业、社会多元化投入机制。改进人才项目资助方式，鼓励各类人才和团队积极申报相应人才项目。</w:t>
      </w:r>
      <w:r>
        <w:rPr>
          <w:rFonts w:hint="eastAsia" w:ascii="方正黑体简体" w:hAnsi="方正黑体简体" w:eastAsia="方正黑体简体" w:cs="方正黑体简体"/>
          <w:snapToGrid w:val="0"/>
          <w:spacing w:val="6"/>
          <w:kern w:val="0"/>
          <w:sz w:val="32"/>
          <w:szCs w:val="32"/>
        </w:rPr>
        <w:t>（牵头单位：区财政局、区审计局）</w:t>
      </w:r>
    </w:p>
    <w:p>
      <w:pPr>
        <w:spacing w:line="556" w:lineRule="exact"/>
        <w:ind w:firstLine="664" w:firstLineChars="200"/>
        <w:rPr>
          <w:rFonts w:eastAsia="方正仿宋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（十四）健全人才安居保障政策。</w:t>
      </w:r>
      <w:r>
        <w:rPr>
          <w:rFonts w:eastAsia="方正仿宋简体"/>
          <w:snapToGrid w:val="0"/>
          <w:spacing w:val="6"/>
          <w:kern w:val="0"/>
          <w:sz w:val="32"/>
          <w:szCs w:val="32"/>
        </w:rPr>
        <w:t>分期建设金平区人才公寓，建立健全人才公寓入住服务管理制度，实施阶梯式房租优惠政策。建立公寓入住、租房补贴和购房支持三位一体、有序衔接、灵活自主的人才安居保障体系，加大购房支持力度，每年联系举办1场次人才购房专场活动，鼓励房企为人才实施专项折扣，通过帮助人才在汕头购置</w:t>
      </w:r>
      <w:r>
        <w:rPr>
          <w:rFonts w:hint="eastAsia" w:eastAsia="方正仿宋简体"/>
          <w:snapToGrid w:val="0"/>
          <w:spacing w:val="6"/>
          <w:kern w:val="0"/>
          <w:sz w:val="32"/>
          <w:szCs w:val="32"/>
        </w:rPr>
        <w:t>“</w:t>
      </w:r>
      <w:r>
        <w:rPr>
          <w:rFonts w:eastAsia="方正仿宋简体"/>
          <w:snapToGrid w:val="0"/>
          <w:spacing w:val="6"/>
          <w:kern w:val="0"/>
          <w:sz w:val="32"/>
          <w:szCs w:val="32"/>
        </w:rPr>
        <w:t>恒产</w:t>
      </w:r>
      <w:r>
        <w:rPr>
          <w:rFonts w:hint="eastAsia" w:eastAsia="方正仿宋简体"/>
          <w:snapToGrid w:val="0"/>
          <w:spacing w:val="6"/>
          <w:kern w:val="0"/>
          <w:sz w:val="32"/>
          <w:szCs w:val="32"/>
        </w:rPr>
        <w:t>”</w:t>
      </w:r>
      <w:r>
        <w:rPr>
          <w:rFonts w:eastAsia="方正仿宋简体"/>
          <w:snapToGrid w:val="0"/>
          <w:spacing w:val="6"/>
          <w:kern w:val="0"/>
          <w:sz w:val="32"/>
          <w:szCs w:val="32"/>
        </w:rPr>
        <w:t>，坚定人才在金平发展的</w:t>
      </w:r>
      <w:r>
        <w:rPr>
          <w:rFonts w:hint="eastAsia" w:eastAsia="方正仿宋简体"/>
          <w:snapToGrid w:val="0"/>
          <w:spacing w:val="6"/>
          <w:kern w:val="0"/>
          <w:sz w:val="32"/>
          <w:szCs w:val="32"/>
        </w:rPr>
        <w:t>“</w:t>
      </w:r>
      <w:r>
        <w:rPr>
          <w:rFonts w:eastAsia="方正仿宋简体"/>
          <w:snapToGrid w:val="0"/>
          <w:spacing w:val="6"/>
          <w:kern w:val="0"/>
          <w:sz w:val="32"/>
          <w:szCs w:val="32"/>
        </w:rPr>
        <w:t>恒心</w:t>
      </w:r>
      <w:r>
        <w:rPr>
          <w:rFonts w:hint="eastAsia" w:eastAsia="方正仿宋简体"/>
          <w:snapToGrid w:val="0"/>
          <w:spacing w:val="6"/>
          <w:kern w:val="0"/>
          <w:sz w:val="32"/>
          <w:szCs w:val="32"/>
        </w:rPr>
        <w:t>”</w:t>
      </w:r>
      <w:r>
        <w:rPr>
          <w:rFonts w:eastAsia="方正仿宋简体"/>
          <w:snapToGrid w:val="0"/>
          <w:spacing w:val="6"/>
          <w:kern w:val="0"/>
          <w:sz w:val="32"/>
          <w:szCs w:val="32"/>
        </w:rPr>
        <w:t>。租房补贴、人才公寓允许申请享受一项，不重复多次享受。</w:t>
      </w:r>
      <w:r>
        <w:rPr>
          <w:rFonts w:hint="eastAsia" w:ascii="方正黑体简体" w:hAnsi="方正黑体简体" w:eastAsia="方正黑体简体" w:cs="方正黑体简体"/>
          <w:snapToGrid w:val="0"/>
          <w:spacing w:val="6"/>
          <w:kern w:val="0"/>
          <w:sz w:val="32"/>
          <w:szCs w:val="32"/>
        </w:rPr>
        <w:t>（牵头单位：区住房城乡建设局）</w:t>
      </w:r>
    </w:p>
    <w:p>
      <w:pPr>
        <w:spacing w:line="556" w:lineRule="exact"/>
        <w:ind w:firstLine="664" w:firstLineChars="200"/>
        <w:rPr>
          <w:rFonts w:eastAsia="方正仿宋简体"/>
          <w:snapToGrid w:val="0"/>
          <w:spacing w:val="6"/>
          <w:kern w:val="0"/>
          <w:sz w:val="32"/>
          <w:szCs w:val="32"/>
        </w:rPr>
      </w:pPr>
      <w:r>
        <w:rPr>
          <w:rFonts w:hint="eastAsia" w:ascii="方正楷体简体" w:hAnsi="方正楷体简体" w:eastAsia="方正楷体简体" w:cs="方正楷体简体"/>
          <w:snapToGrid w:val="0"/>
          <w:spacing w:val="6"/>
          <w:kern w:val="0"/>
          <w:sz w:val="32"/>
          <w:szCs w:val="32"/>
        </w:rPr>
        <w:t>（十五）建设就医问诊绿色通道。</w:t>
      </w:r>
      <w:r>
        <w:rPr>
          <w:rFonts w:eastAsia="方正仿宋简体"/>
          <w:snapToGrid w:val="0"/>
          <w:spacing w:val="6"/>
          <w:kern w:val="0"/>
          <w:sz w:val="32"/>
          <w:szCs w:val="32"/>
        </w:rPr>
        <w:t>在区公立医院建设人才就诊绿色通道，为我区高层次人才、区拔尖人才、教育系统引进高层次人才就医问诊提供预约诊疗、专人引导等一站式服务。</w:t>
      </w:r>
      <w:r>
        <w:rPr>
          <w:rFonts w:hint="eastAsia" w:ascii="方正黑体简体" w:hAnsi="方正黑体简体" w:eastAsia="方正黑体简体" w:cs="方正黑体简体"/>
          <w:snapToGrid w:val="0"/>
          <w:spacing w:val="6"/>
          <w:kern w:val="0"/>
          <w:sz w:val="32"/>
          <w:szCs w:val="32"/>
        </w:rPr>
        <w:t>（牵头单位：区卫生健康局）</w:t>
      </w:r>
    </w:p>
    <w:p>
      <w:pPr>
        <w:spacing w:line="556" w:lineRule="exact"/>
        <w:ind w:firstLine="664" w:firstLineChars="200"/>
        <w:rPr>
          <w:rFonts w:eastAsia="方正仿宋简体"/>
          <w:snapToGrid w:val="0"/>
          <w:spacing w:val="6"/>
          <w:kern w:val="0"/>
          <w:sz w:val="32"/>
          <w:szCs w:val="32"/>
        </w:rPr>
      </w:pPr>
      <w:r>
        <w:rPr>
          <w:rFonts w:eastAsia="方正仿宋简体"/>
          <w:snapToGrid w:val="0"/>
          <w:spacing w:val="6"/>
          <w:kern w:val="0"/>
          <w:sz w:val="32"/>
          <w:szCs w:val="32"/>
        </w:rPr>
        <w:t>本意见未明确的福利待遇、申报流程、认定标准等内容，由各牵头单位制定具体配套实施方案另行明确。各牵头单位要切实增强责任意识，对所牵头工作负总责，按照职能和分工，认真谋划，组织协调有关单位扎实有序推进工作</w:t>
      </w:r>
      <w:r>
        <w:rPr>
          <w:rFonts w:hint="eastAsia" w:eastAsia="方正仿宋简体"/>
          <w:snapToGrid w:val="0"/>
          <w:spacing w:val="6"/>
          <w:kern w:val="0"/>
          <w:sz w:val="32"/>
          <w:szCs w:val="32"/>
        </w:rPr>
        <w:t>；</w:t>
      </w:r>
      <w:r>
        <w:rPr>
          <w:rFonts w:eastAsia="方正仿宋简体"/>
          <w:snapToGrid w:val="0"/>
          <w:spacing w:val="6"/>
          <w:kern w:val="0"/>
          <w:sz w:val="32"/>
          <w:szCs w:val="32"/>
        </w:rPr>
        <w:t>各有关单位要主动配合牵头单位，确保任务落到实处。我区现行有关规定与本实施意见不一致的，以本实施意见为准。本意见自发布之日起执行。</w:t>
      </w:r>
    </w:p>
    <w:p>
      <w:pPr>
        <w:spacing w:line="600" w:lineRule="exact"/>
        <w:ind w:firstLine="680" w:firstLineChars="200"/>
        <w:rPr>
          <w:rFonts w:eastAsia="方正仿宋简体"/>
          <w:snapToGrid w:val="0"/>
          <w:spacing w:val="10"/>
          <w:kern w:val="0"/>
          <w:sz w:val="32"/>
          <w:szCs w:val="32"/>
        </w:rPr>
      </w:pPr>
    </w:p>
    <w:p>
      <w:pPr>
        <w:spacing w:line="600" w:lineRule="exact"/>
        <w:ind w:firstLine="680" w:firstLineChars="200"/>
        <w:rPr>
          <w:rFonts w:eastAsia="方正仿宋简体"/>
          <w:snapToGrid w:val="0"/>
          <w:spacing w:val="10"/>
          <w:kern w:val="0"/>
          <w:sz w:val="32"/>
          <w:szCs w:val="32"/>
        </w:rPr>
      </w:pPr>
    </w:p>
    <w:p>
      <w:pPr>
        <w:spacing w:line="600" w:lineRule="exact"/>
        <w:ind w:firstLine="680" w:firstLineChars="200"/>
        <w:rPr>
          <w:rFonts w:eastAsia="方正仿宋简体"/>
          <w:snapToGrid w:val="0"/>
          <w:spacing w:val="10"/>
          <w:kern w:val="0"/>
          <w:sz w:val="32"/>
          <w:szCs w:val="32"/>
        </w:rPr>
      </w:pPr>
    </w:p>
    <w:p>
      <w:pPr>
        <w:spacing w:line="600" w:lineRule="exact"/>
        <w:ind w:firstLine="680" w:firstLineChars="200"/>
        <w:rPr>
          <w:rFonts w:eastAsia="方正仿宋简体"/>
          <w:snapToGrid w:val="0"/>
          <w:spacing w:val="10"/>
          <w:kern w:val="0"/>
          <w:sz w:val="32"/>
          <w:szCs w:val="32"/>
        </w:rPr>
      </w:pPr>
    </w:p>
    <w:p>
      <w:pPr>
        <w:spacing w:line="600" w:lineRule="exact"/>
        <w:ind w:firstLine="680" w:firstLineChars="200"/>
        <w:rPr>
          <w:rFonts w:eastAsia="方正仿宋简体"/>
          <w:snapToGrid w:val="0"/>
          <w:spacing w:val="10"/>
          <w:kern w:val="0"/>
          <w:sz w:val="32"/>
          <w:szCs w:val="32"/>
        </w:rPr>
      </w:pPr>
    </w:p>
    <w:p>
      <w:pPr>
        <w:spacing w:line="600" w:lineRule="exact"/>
        <w:ind w:firstLine="170" w:firstLineChars="50"/>
        <w:rPr>
          <w:rFonts w:eastAsia="方正仿宋简体"/>
          <w:snapToGrid w:val="0"/>
          <w:spacing w:val="10"/>
          <w:kern w:val="0"/>
          <w:sz w:val="32"/>
          <w:szCs w:val="32"/>
        </w:rPr>
      </w:pPr>
      <w:r>
        <w:rPr>
          <w:rFonts w:hint="eastAsia" w:eastAsia="方正仿宋简体"/>
          <w:snapToGrid w:val="0"/>
          <w:spacing w:val="1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43180</wp:posOffset>
                </wp:positionV>
                <wp:extent cx="5687695" cy="0"/>
                <wp:effectExtent l="0" t="0" r="0" b="0"/>
                <wp:wrapNone/>
                <wp:docPr id="11" name="直接连接符 11"/>
                <wp:cNvGraphicFramePr/>
                <a:graphic xmlns:a="http://schemas.openxmlformats.org/drawingml/2006/main">
                  <a:graphicData uri="http://schemas.microsoft.com/office/word/2010/wordprocessingShape">
                    <wps:wsp>
                      <wps:cNvSpPr/>
                      <wps:spPr>
                        <a:xfrm>
                          <a:off x="0" y="0"/>
                          <a:ext cx="568769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3.4pt;height:0pt;width:447.85pt;z-index:251661312;mso-width-relative:page;mso-height-relative:page;" filled="f" coordsize="21600,21600" o:gfxdata="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ii219UAAAAGAQAADwAAAAAAAAABACAAAAAiAAAAZHJzL2Rvd25yZXYueG1sUEsBAhQA&#10;FAAAAAgAh07iQJ6Demn1AQAA5wMAAA4AAAAAAAAAAQAgAAAAJAEAAGRycy9lMm9Eb2MueG1sUEsF&#10;BgAAAAAGAAYAWQEAAIsFAAAAAA==&#10;">
                <v:path arrowok="t"/>
                <v:fill on="f" focussize="0,0"/>
                <v:stroke weight="1.25pt"/>
                <v:imagedata o:title=""/>
                <o:lock v:ext="edit" grouping="f" rotation="f" text="f" aspectratio="f"/>
              </v:line>
            </w:pict>
          </mc:Fallback>
        </mc:AlternateContent>
      </w:r>
      <w:r>
        <w:rPr>
          <w:rFonts w:hint="eastAsia" w:ascii="方正仿宋简体" w:hAnsi="方正仿宋简体" w:eastAsia="方正仿宋简体" w:cs="方正仿宋简体"/>
          <w:snapToGrid w:val="0"/>
          <w:spacing w:val="1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414655</wp:posOffset>
                </wp:positionV>
                <wp:extent cx="5687695" cy="0"/>
                <wp:effectExtent l="0" t="0" r="0" b="0"/>
                <wp:wrapNone/>
                <wp:docPr id="14" name="直接连接符 14"/>
                <wp:cNvGraphicFramePr/>
                <a:graphic xmlns:a="http://schemas.openxmlformats.org/drawingml/2006/main">
                  <a:graphicData uri="http://schemas.microsoft.com/office/word/2010/wordprocessingShape">
                    <wps:wsp>
                      <wps:cNvSpPr/>
                      <wps:spPr>
                        <a:xfrm>
                          <a:off x="0" y="0"/>
                          <a:ext cx="568769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32.65pt;height:0pt;width:447.85pt;z-index:251662336;mso-width-relative:page;mso-height-relative:page;" filled="f" coordsize="21600,21600" o:gfxdata="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D+oGNgAAAAIAQAADwAAAAAAAAABACAAAAAiAAAAZHJzL2Rvd25yZXYueG1sUEsB&#10;AhQAFAAAAAgAh07iQKCMbbP1AQAA5wMAAA4AAAAAAAAAAQAgAAAAJwEAAGRycy9lMm9Eb2MueG1s&#10;UEsFBgAAAAAGAAYAWQEAAI4FAAAAAA==&#10;">
                <v:path arrowok="t"/>
                <v:fill on="f" focussize="0,0"/>
                <v:stroke weight="1.25pt"/>
                <v:imagedata o:title=""/>
                <o:lock v:ext="edit" grouping="f" rotation="f" text="f" aspectratio="f"/>
              </v:line>
            </w:pict>
          </mc:Fallback>
        </mc:AlternateContent>
      </w:r>
      <w:r>
        <w:rPr>
          <w:rFonts w:hint="eastAsia" w:ascii="方正仿宋简体" w:hAnsi="方正仿宋简体" w:eastAsia="方正仿宋简体" w:cs="方正仿宋简体"/>
          <w:snapToGrid w:val="0"/>
          <w:spacing w:val="10"/>
          <w:kern w:val="0"/>
          <w:sz w:val="32"/>
          <w:szCs w:val="32"/>
        </w:rPr>
        <w:t xml:space="preserve">中共汕头市金平区委办公室      </w:t>
      </w:r>
      <w:r>
        <w:rPr>
          <w:rFonts w:eastAsia="方正仿宋简体"/>
          <w:snapToGrid w:val="0"/>
          <w:spacing w:val="10"/>
          <w:kern w:val="0"/>
          <w:sz w:val="32"/>
          <w:szCs w:val="32"/>
        </w:rPr>
        <w:t xml:space="preserve">  2020年4月9日印发</w:t>
      </w:r>
      <w:r>
        <w:rPr>
          <w:rFonts w:hint="eastAsia" w:eastAsia="方正仿宋简体"/>
          <w:snapToGrid w:val="0"/>
          <w:spacing w:val="10"/>
          <w:kern w:val="0"/>
          <w:sz w:val="32"/>
          <w:szCs w:val="32"/>
        </w:rPr>
        <w:t xml:space="preserve"> </w:t>
      </w:r>
    </w:p>
    <w:p/>
    <w:sectPr>
      <w:footerReference r:id="rId3" w:type="default"/>
      <w:footerReference r:id="rId4" w:type="even"/>
      <w:pgSz w:w="11907" w:h="16840"/>
      <w:pgMar w:top="1418" w:right="1418" w:bottom="1588" w:left="1418" w:header="851" w:footer="1134" w:gutter="0"/>
      <w:pgNumType w:chapStyle="1"/>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hint="eastAsia"/>
        <w:sz w:val="24"/>
      </w:rPr>
    </w:pPr>
    <w:r>
      <w:rPr>
        <w:rStyle w:val="12"/>
        <w:rFonts w:hint="eastAsia"/>
        <w:sz w:val="24"/>
      </w:rPr>
      <w:t xml:space="preserve">— </w:t>
    </w:r>
    <w:r>
      <w:rPr>
        <w:sz w:val="24"/>
      </w:rPr>
      <w:fldChar w:fldCharType="begin"/>
    </w:r>
    <w:r>
      <w:rPr>
        <w:rStyle w:val="12"/>
        <w:sz w:val="24"/>
      </w:rPr>
      <w:instrText xml:space="preserve">PAGE  </w:instrText>
    </w:r>
    <w:r>
      <w:rPr>
        <w:sz w:val="24"/>
      </w:rPr>
      <w:fldChar w:fldCharType="separate"/>
    </w:r>
    <w:r>
      <w:rPr>
        <w:rStyle w:val="12"/>
        <w:sz w:val="24"/>
      </w:rPr>
      <w:t>1</w:t>
    </w:r>
    <w:r>
      <w:rPr>
        <w:sz w:val="24"/>
      </w:rPr>
      <w:fldChar w:fldCharType="end"/>
    </w:r>
    <w:r>
      <w:rPr>
        <w:rStyle w:val="12"/>
        <w:rFonts w:hint="eastAsia"/>
        <w:sz w:val="24"/>
      </w:rPr>
      <w:t xml:space="preserve"> —</w:t>
    </w:r>
  </w:p>
  <w:p>
    <w:pPr>
      <w:pStyle w:val="5"/>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11C91"/>
    <w:rsid w:val="0DC24380"/>
    <w:rsid w:val="107B6141"/>
    <w:rsid w:val="41A93EB9"/>
    <w:rsid w:val="5F5D1D94"/>
    <w:rsid w:val="63FE22D3"/>
    <w:rsid w:val="6B911C91"/>
    <w:rsid w:val="6CE00766"/>
    <w:rsid w:val="6F71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uiPriority w:val="0"/>
    <w:rPr>
      <w:color w:val="333333"/>
      <w:sz w:val="21"/>
      <w:szCs w:val="21"/>
      <w:u w:val="none"/>
      <w:bdr w:val="none" w:color="auto" w:sz="0" w:space="0"/>
      <w:vertAlign w:val="baseline"/>
    </w:rPr>
  </w:style>
  <w:style w:type="character" w:styleId="14">
    <w:name w:val="Hyperlink"/>
    <w:basedOn w:val="10"/>
    <w:uiPriority w:val="0"/>
    <w:rPr>
      <w:color w:val="333333"/>
      <w:sz w:val="21"/>
      <w:szCs w:val="21"/>
      <w:u w:val="none"/>
      <w:bdr w:val="none" w:color="auto" w:sz="0" w:space="0"/>
      <w:vertAlign w:val="baseline"/>
    </w:rPr>
  </w:style>
  <w:style w:type="character" w:customStyle="1" w:styleId="15">
    <w:name w:val="showbtn"/>
    <w:basedOn w:val="10"/>
    <w:uiPriority w:val="0"/>
    <w:rPr>
      <w:vanish/>
    </w:rPr>
  </w:style>
  <w:style w:type="character" w:customStyle="1" w:styleId="16">
    <w:name w:val="hidebtn"/>
    <w:basedOn w:val="10"/>
    <w:uiPriority w:val="0"/>
  </w:style>
  <w:style w:type="paragraph" w:customStyle="1" w:styleId="17">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2021-01-06T01:07:00Z</dcterms:created>
  <dc:creator>Administrator</dc:creator>
  <cp:lastModifiedBy>Administrator</cp:lastModifiedBy>
  <dcterms:modified xsi:type="dcterms:W3CDTF">2021-01-06T06:06:34Z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