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关于报考理科类、文科类岗位教师资格证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相关要求的说明</w:t>
      </w:r>
    </w:p>
    <w:p>
      <w:pPr>
        <w:rPr>
          <w:rFonts w:hint="eastAsia"/>
          <w:lang w:val="en-US" w:eastAsia="zh-CN"/>
        </w:rPr>
      </w:pPr>
    </w:p>
    <w:p>
      <w:pPr>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ind w:firstLine="640" w:firstLineChars="200"/>
        <w:jc w:val="left"/>
        <w:textAlignment w:val="auto"/>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eastAsia="zh-CN"/>
        </w:rPr>
        <w:t>报考理科类岗位教师资格证任教学科范围</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初中理科类岗位：物理、化学、生物、信息技术、通用技术、科学、初中教育。</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小学理科类岗位：物理、化学、生物、信息技术、通用技术、科学、初中教育、小学科学、小学信息技术、小学全科、小学教育。</w:t>
      </w:r>
    </w:p>
    <w:p>
      <w:pPr>
        <w:keepNext w:val="0"/>
        <w:keepLines w:val="0"/>
        <w:pageBreakBefore w:val="0"/>
        <w:widowControl/>
        <w:numPr>
          <w:ilvl w:val="0"/>
          <w:numId w:val="1"/>
        </w:numPr>
        <w:kinsoku/>
        <w:wordWrap/>
        <w:overflowPunct/>
        <w:topLinePunct w:val="0"/>
        <w:autoSpaceDE/>
        <w:autoSpaceDN/>
        <w:bidi w:val="0"/>
        <w:adjustRightInd w:val="0"/>
        <w:snapToGrid/>
        <w:ind w:firstLine="640" w:firstLineChars="200"/>
        <w:jc w:val="left"/>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报考文科类岗位教师资格证任教学科范围</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初中文科类岗位：思想政治、历史、地理、历史与社会、初中教育。</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小学文科类岗位：思想政治、历史、地理、历史与社会、初中教育、小学社会、小学心理健康教育、小学全科、小学教育。</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上述任教学科范围名称为中国教育考试网公布的现行教师资格证考试报名可报考任教学科，如有往年颁发的教师资格证任教学科范围与以上范围不一致或未明确学科的，由招聘领导小组结合</w:t>
      </w:r>
      <w:r>
        <w:rPr>
          <w:rFonts w:hint="eastAsia" w:ascii="仿宋_GB2312" w:hAnsi="仿宋" w:eastAsia="仿宋_GB2312"/>
          <w:sz w:val="32"/>
          <w:szCs w:val="32"/>
        </w:rPr>
        <w:t>本人所学专业</w:t>
      </w:r>
      <w:r>
        <w:rPr>
          <w:rFonts w:hint="eastAsia" w:ascii="仿宋_GB2312" w:hAnsi="仿宋" w:eastAsia="仿宋_GB2312"/>
          <w:sz w:val="32"/>
          <w:szCs w:val="32"/>
          <w:lang w:eastAsia="zh-CN"/>
        </w:rPr>
        <w:t>确定</w:t>
      </w:r>
      <w:r>
        <w:rPr>
          <w:rFonts w:hint="eastAsia" w:ascii="仿宋" w:hAnsi="仿宋" w:eastAsia="仿宋" w:cs="仿宋"/>
          <w:color w:val="333333"/>
          <w:sz w:val="32"/>
          <w:szCs w:val="32"/>
          <w:lang w:val="en-US" w:eastAsia="zh-CN"/>
        </w:rPr>
        <w:t>是否符合报考资格条件及其可</w:t>
      </w:r>
      <w:r>
        <w:rPr>
          <w:rFonts w:hint="eastAsia" w:ascii="仿宋_GB2312" w:hAnsi="仿宋" w:eastAsia="仿宋_GB2312"/>
          <w:sz w:val="32"/>
          <w:szCs w:val="32"/>
        </w:rPr>
        <w:t>报考岗位</w:t>
      </w:r>
      <w:r>
        <w:rPr>
          <w:rFonts w:hint="eastAsia" w:ascii="仿宋" w:hAnsi="仿宋" w:eastAsia="仿宋" w:cs="仿宋"/>
          <w:color w:val="333333"/>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ind w:firstLine="640" w:firstLineChars="200"/>
        <w:jc w:val="left"/>
        <w:textAlignment w:val="auto"/>
        <w:rPr>
          <w:rFonts w:hint="eastAsia" w:ascii="仿宋" w:hAnsi="仿宋" w:eastAsia="仿宋" w:cs="仿宋"/>
          <w:color w:val="333333"/>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ind w:firstLine="5120" w:firstLineChars="1600"/>
        <w:jc w:val="left"/>
        <w:textAlignment w:val="auto"/>
        <w:rPr>
          <w:rFonts w:hint="default"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2020年11月16日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023A1"/>
    <w:multiLevelType w:val="singleLevel"/>
    <w:tmpl w:val="985023A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90F14"/>
    <w:rsid w:val="04F15947"/>
    <w:rsid w:val="54390F14"/>
    <w:rsid w:val="580B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00" w:lineRule="exact"/>
      <w:ind w:firstLine="420" w:firstLineChars="200"/>
    </w:pPr>
    <w:rPr>
      <w:rFonts w:ascii="宋体" w:hAnsi="宋体"/>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2020-11-19T06:44:00Z</dcterms:created>
  <dc:creator>Administrator</dc:creator>
  <cp:lastModifiedBy>Administrator</cp:lastModifiedBy>
  <dcterms:modified xsi:type="dcterms:W3CDTF">2020-11-19T07:13:50Z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