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</w:p>
    <w:p>
      <w:pPr>
        <w:pStyle w:val="15"/>
        <w:spacing w:line="600" w:lineRule="exac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普通高等学校研究生专业目录</w:t>
      </w: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 w:val="44"/>
          <w:szCs w:val="44"/>
        </w:rPr>
      </w:pPr>
      <w:r>
        <w:rPr>
          <w:rFonts w:ascii="Times New Roman" w:eastAsia="仿宋_GB2312"/>
          <w:sz w:val="44"/>
          <w:szCs w:val="44"/>
        </w:rPr>
        <w:t>（2012年）</w:t>
      </w: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仿宋_GB2312"/>
          <w:szCs w:val="32"/>
        </w:rPr>
      </w:pPr>
    </w:p>
    <w:p>
      <w:pPr>
        <w:pStyle w:val="15"/>
        <w:adjustRightInd w:val="0"/>
        <w:snapToGrid w:val="0"/>
        <w:spacing w:line="600" w:lineRule="exact"/>
        <w:rPr>
          <w:rFonts w:hint="eastAsia" w:ascii="楷体_GB2312" w:eastAsia="楷体_GB2312"/>
          <w:b/>
          <w:sz w:val="36"/>
          <w:szCs w:val="36"/>
        </w:rPr>
      </w:pPr>
    </w:p>
    <w:p>
      <w:pPr>
        <w:pStyle w:val="15"/>
        <w:adjustRightInd w:val="0"/>
        <w:snapToGrid w:val="0"/>
        <w:spacing w:line="600" w:lineRule="exact"/>
        <w:rPr>
          <w:rFonts w:ascii="Times New Roman" w:eastAsia="楷体_GB2312"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 w:cs="Arial"/>
          <w:sz w:val="28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1</w:t>
      </w:r>
      <w:r>
        <w:rPr>
          <w:rFonts w:ascii="仿宋_GB2312" w:eastAsia="仿宋_GB2312" w:cs="Arial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《招收研究生的学科、专业名称代码册》（以下简称“代码册”），</w:t>
      </w:r>
      <w:r>
        <w:rPr>
          <w:rFonts w:hint="eastAsia" w:ascii="仿宋_GB2312" w:eastAsia="仿宋_GB2312" w:cs="Arial"/>
          <w:sz w:val="28"/>
          <w:szCs w:val="32"/>
        </w:rPr>
        <w:t>与</w:t>
      </w:r>
      <w:r>
        <w:rPr>
          <w:rFonts w:ascii="仿宋_GB2312" w:eastAsia="仿宋_GB2312" w:cs="Arial"/>
          <w:sz w:val="28"/>
          <w:szCs w:val="32"/>
        </w:rPr>
        <w:t>《授予博士、硕士学位和培养研究生的学科、专业目录》（</w:t>
      </w:r>
      <w:r>
        <w:rPr>
          <w:rFonts w:hint="eastAsia" w:ascii="仿宋_GB2312" w:eastAsia="仿宋_GB2312" w:cs="Arial"/>
          <w:sz w:val="28"/>
          <w:szCs w:val="32"/>
        </w:rPr>
        <w:t>以下</w:t>
      </w:r>
      <w:r>
        <w:rPr>
          <w:rFonts w:ascii="仿宋_GB2312" w:eastAsia="仿宋_GB2312" w:cs="Arial"/>
          <w:sz w:val="28"/>
          <w:szCs w:val="32"/>
        </w:rPr>
        <w:t>简称</w:t>
      </w:r>
      <w:r>
        <w:rPr>
          <w:rFonts w:hint="eastAsia" w:ascii="仿宋_GB2312" w:eastAsia="仿宋_GB2312" w:cs="Arial"/>
          <w:sz w:val="28"/>
          <w:szCs w:val="32"/>
        </w:rPr>
        <w:t>“专业</w:t>
      </w:r>
      <w:r>
        <w:rPr>
          <w:rFonts w:ascii="仿宋_GB2312" w:eastAsia="仿宋_GB2312" w:cs="Arial"/>
          <w:sz w:val="28"/>
          <w:szCs w:val="32"/>
        </w:rPr>
        <w:t>目录</w:t>
      </w:r>
      <w:r>
        <w:rPr>
          <w:rFonts w:hint="eastAsia" w:ascii="仿宋_GB2312" w:eastAsia="仿宋_GB2312" w:cs="Arial"/>
          <w:sz w:val="28"/>
          <w:szCs w:val="32"/>
        </w:rPr>
        <w:t>”</w:t>
      </w:r>
      <w:r>
        <w:rPr>
          <w:rFonts w:ascii="仿宋_GB2312" w:eastAsia="仿宋_GB2312" w:cs="Arial"/>
          <w:sz w:val="28"/>
          <w:szCs w:val="32"/>
        </w:rPr>
        <w:t>）中的</w:t>
      </w:r>
      <w:r>
        <w:rPr>
          <w:rFonts w:hint="eastAsia" w:ascii="仿宋_GB2312" w:eastAsia="仿宋_GB2312" w:cs="Arial"/>
          <w:sz w:val="28"/>
          <w:szCs w:val="32"/>
        </w:rPr>
        <w:t>学科门类、一级学科和二级学科（学科、专业）的代码表示方法一致，即分别为二位、四位和六位阿拉伯数字。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32"/>
        </w:rPr>
        <w:t>2、本“代码册”对“专业目录”中</w:t>
      </w:r>
      <w:r>
        <w:rPr>
          <w:rFonts w:ascii="仿宋_GB2312" w:eastAsia="仿宋_GB2312" w:cs="Arial"/>
          <w:sz w:val="28"/>
          <w:szCs w:val="32"/>
        </w:rPr>
        <w:t>可授予不同</w:t>
      </w:r>
      <w:r>
        <w:rPr>
          <w:rFonts w:hint="eastAsia" w:ascii="仿宋_GB2312" w:eastAsia="仿宋_GB2312" w:cs="Arial"/>
          <w:sz w:val="28"/>
          <w:szCs w:val="32"/>
        </w:rPr>
        <w:t>学科门类</w:t>
      </w:r>
      <w:r>
        <w:rPr>
          <w:rFonts w:ascii="仿宋_GB2312" w:eastAsia="仿宋_GB2312" w:cs="Arial"/>
          <w:sz w:val="28"/>
          <w:szCs w:val="32"/>
        </w:rPr>
        <w:t>学位的</w:t>
      </w:r>
      <w:r>
        <w:rPr>
          <w:rFonts w:hint="eastAsia" w:ascii="仿宋_GB2312" w:eastAsia="仿宋_GB2312" w:cs="Arial"/>
          <w:sz w:val="28"/>
          <w:szCs w:val="32"/>
        </w:rPr>
        <w:t>学科、专业</w:t>
      </w:r>
      <w:r>
        <w:rPr>
          <w:rFonts w:hint="eastAsia" w:ascii="仿宋_GB2312" w:hAnsi="宋体" w:eastAsia="仿宋_GB2312"/>
          <w:sz w:val="28"/>
          <w:szCs w:val="28"/>
        </w:rPr>
        <w:t>编制了新的专业代码（第3位均为“7”）。</w:t>
      </w: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  <w:r>
        <w:rPr>
          <w:rFonts w:hint="eastAsia" w:ascii="仿宋_GB2312" w:eastAsia="仿宋_GB2312" w:cs="Arial"/>
          <w:sz w:val="28"/>
          <w:szCs w:val="32"/>
        </w:rPr>
        <w:t>3、本“代码册”中学科、专业名称后</w:t>
      </w:r>
      <w:r>
        <w:rPr>
          <w:rFonts w:ascii="仿宋_GB2312" w:eastAsia="仿宋_GB2312" w:cs="Arial"/>
          <w:sz w:val="28"/>
          <w:szCs w:val="32"/>
        </w:rPr>
        <w:t>括号内四位</w:t>
      </w:r>
      <w:r>
        <w:rPr>
          <w:rFonts w:hint="eastAsia" w:ascii="仿宋_GB2312" w:eastAsia="仿宋_GB2312" w:cs="Arial"/>
          <w:sz w:val="28"/>
          <w:szCs w:val="32"/>
        </w:rPr>
        <w:t>和</w:t>
      </w:r>
      <w:r>
        <w:rPr>
          <w:rFonts w:ascii="仿宋_GB2312" w:eastAsia="仿宋_GB2312" w:cs="Arial"/>
          <w:sz w:val="28"/>
          <w:szCs w:val="32"/>
        </w:rPr>
        <w:t>六位数字为</w:t>
      </w:r>
      <w:r>
        <w:rPr>
          <w:rFonts w:hint="eastAsia" w:ascii="仿宋_GB2312" w:eastAsia="仿宋_GB2312" w:cs="Arial"/>
          <w:sz w:val="28"/>
          <w:szCs w:val="32"/>
        </w:rPr>
        <w:t>该学科在“专业</w:t>
      </w:r>
      <w:r>
        <w:rPr>
          <w:rFonts w:ascii="仿宋_GB2312" w:eastAsia="仿宋_GB2312" w:cs="Arial"/>
          <w:sz w:val="28"/>
          <w:szCs w:val="32"/>
        </w:rPr>
        <w:t>目录</w:t>
      </w:r>
      <w:r>
        <w:rPr>
          <w:rFonts w:hint="eastAsia" w:ascii="仿宋_GB2312" w:eastAsia="仿宋_GB2312" w:cs="Arial"/>
          <w:sz w:val="28"/>
          <w:szCs w:val="32"/>
        </w:rPr>
        <w:t>”</w:t>
      </w:r>
      <w:r>
        <w:rPr>
          <w:rFonts w:ascii="仿宋_GB2312" w:eastAsia="仿宋_GB2312" w:cs="Arial"/>
          <w:sz w:val="28"/>
          <w:szCs w:val="32"/>
        </w:rPr>
        <w:t>中的一级学科</w:t>
      </w:r>
      <w:r>
        <w:rPr>
          <w:rFonts w:hint="eastAsia" w:ascii="仿宋_GB2312" w:eastAsia="仿宋_GB2312" w:cs="Arial"/>
          <w:sz w:val="28"/>
          <w:szCs w:val="32"/>
        </w:rPr>
        <w:t>和</w:t>
      </w:r>
      <w:r>
        <w:rPr>
          <w:rFonts w:ascii="仿宋_GB2312" w:eastAsia="仿宋_GB2312" w:cs="Arial"/>
          <w:sz w:val="28"/>
          <w:szCs w:val="32"/>
        </w:rPr>
        <w:t>二级学科代码。</w:t>
      </w: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  <w:r>
        <w:rPr>
          <w:rFonts w:hint="eastAsia" w:ascii="仿宋_GB2312" w:eastAsia="仿宋_GB2312" w:cs="Arial"/>
          <w:sz w:val="28"/>
          <w:szCs w:val="32"/>
        </w:rPr>
        <w:t>4</w:t>
      </w:r>
      <w:r>
        <w:rPr>
          <w:rFonts w:ascii="仿宋_GB2312" w:eastAsia="仿宋_GB2312" w:cs="Arial"/>
          <w:sz w:val="28"/>
          <w:szCs w:val="32"/>
        </w:rPr>
        <w:t>、</w:t>
      </w:r>
      <w:r>
        <w:rPr>
          <w:rFonts w:hint="eastAsia" w:ascii="仿宋_GB2312" w:eastAsia="仿宋_GB2312" w:cs="Arial"/>
          <w:sz w:val="28"/>
          <w:szCs w:val="32"/>
        </w:rPr>
        <w:t>各有权自主设置二级学科的招生单位，自主设置二级学科代码的规则是：</w:t>
      </w:r>
      <w:r>
        <w:rPr>
          <w:rFonts w:ascii="仿宋_GB2312" w:eastAsia="仿宋_GB2312" w:cs="Arial"/>
          <w:sz w:val="28"/>
          <w:szCs w:val="32"/>
        </w:rPr>
        <w:t>二级学科代码</w:t>
      </w:r>
      <w:r>
        <w:rPr>
          <w:rFonts w:hint="eastAsia" w:ascii="仿宋_GB2312" w:eastAsia="仿宋_GB2312" w:cs="Arial"/>
          <w:sz w:val="28"/>
          <w:szCs w:val="32"/>
        </w:rPr>
        <w:t>的</w:t>
      </w:r>
      <w:r>
        <w:rPr>
          <w:rFonts w:ascii="仿宋_GB2312" w:eastAsia="仿宋_GB2312" w:cs="Arial"/>
          <w:sz w:val="28"/>
          <w:szCs w:val="32"/>
        </w:rPr>
        <w:t>前四位与该</w:t>
      </w:r>
      <w:r>
        <w:rPr>
          <w:rFonts w:hint="eastAsia" w:ascii="仿宋_GB2312" w:eastAsia="仿宋_GB2312" w:cs="Arial"/>
          <w:sz w:val="28"/>
          <w:szCs w:val="32"/>
        </w:rPr>
        <w:t>二级</w:t>
      </w:r>
      <w:r>
        <w:rPr>
          <w:rFonts w:ascii="仿宋_GB2312" w:eastAsia="仿宋_GB2312" w:cs="Arial"/>
          <w:sz w:val="28"/>
          <w:szCs w:val="32"/>
        </w:rPr>
        <w:t>学科所在的一级学科代码相同，后两位从“20”开始依次排序。</w:t>
      </w: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p>
      <w:pPr>
        <w:ind w:firstLine="560" w:firstLineChars="200"/>
        <w:rPr>
          <w:rFonts w:hint="eastAsia" w:ascii="仿宋_GB2312" w:eastAsia="仿宋_GB2312" w:cs="Arial"/>
          <w:sz w:val="28"/>
          <w:szCs w:val="32"/>
        </w:rPr>
      </w:pPr>
    </w:p>
    <w:tbl>
      <w:tblPr>
        <w:tblStyle w:val="6"/>
        <w:tblW w:w="7585" w:type="dxa"/>
        <w:tblInd w:w="19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3620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哲学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外国哲学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逻辑学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伦理学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宗教学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科学技术哲学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理论经济学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政治经济学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经济思想史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经济史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西方经济学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世界经济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人口、资源与环境经济学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国民经济学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区域经济学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财政学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产业经济学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国际贸易学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劳动经济学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数量经济学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国防经济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法学理论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法律史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宪法学与行政法学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刑法学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民商法学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诉讼法学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经济法学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环境与资源保护法学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国际法学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法律硕士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政治学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政治学理论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中外政治制度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科学社会主义与国际共产主义运动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中共党史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国际政治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国际关系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外交学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人口学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民俗学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马克思主义民族理论与政策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中国少数民族经济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中国少数民族史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中国少数民族艺术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马克思主义发展史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马克思主义中国化研究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国外马克思主义研究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高等教育学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成人教育学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职业技术教育学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特殊教育学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体育学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民族传统体育学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教育经济与管理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语言学及应用语言学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中国古典文献学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中国少数民族语言文学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比较文学与世界文学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英语语言文学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俄语语言文学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德语语言文学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日语语言文学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印度语言文学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西班牙语语言文学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阿拉伯语语言文学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欧洲语言文学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亚非语言文学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外国语言学及应用语言学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传播学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4"/>
                <w:szCs w:val="22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戏剧戏曲学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电影学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广播电视艺术学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舞蹈学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史学理论及史学史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考古学及博物馆学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历史地理学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历史文献学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专门史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中国古代史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中国近现代史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世界史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基础数学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概率论与数理统计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运筹学与控制论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理论物理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粒子物理与原子核物理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原子与分子物理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等离子体物理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凝聚态物理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光学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无线电物理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无机化学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分析化学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有机化学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物理化学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高分子化学与物理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天文学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天体物理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天体测量与天体力学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自然地理学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人文地理学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地图学与地理信息系统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大气科学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气象学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大气物理学与大气环境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海洋科学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物理海洋学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海洋化学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海洋生物学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海洋地质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地球物理学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古生物学与地层学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第四纪地质学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植物学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动物学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微生物学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神经生物学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遗传学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发育生物学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生物物理学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生态学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系统科学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系统理论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系统分析与集成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hint="eastAsia" w:cs="Arial"/>
                <w:b/>
                <w:bCs/>
                <w:sz w:val="28"/>
                <w:szCs w:val="28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基础心理学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（</w:t>
            </w:r>
            <w:r>
              <w:rPr>
                <w:rFonts w:cs="Arial"/>
                <w:sz w:val="22"/>
                <w:szCs w:val="22"/>
              </w:rPr>
              <w:t>040201）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（</w:t>
            </w:r>
            <w:r>
              <w:rPr>
                <w:rFonts w:cs="Arial"/>
                <w:sz w:val="22"/>
                <w:szCs w:val="22"/>
              </w:rPr>
              <w:t>040202）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（</w:t>
            </w:r>
            <w:r>
              <w:rPr>
                <w:rFonts w:cs="Arial"/>
                <w:sz w:val="22"/>
                <w:szCs w:val="22"/>
              </w:rPr>
              <w:t>040203）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一般力学与力学基础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(08010</w:t>
            </w:r>
            <w:r>
              <w:rPr>
                <w:rFonts w:hint="eastAsia"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固体力学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(08010</w:t>
            </w:r>
            <w:r>
              <w:rPr>
                <w:rFonts w:hint="eastAsia"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(08010</w:t>
            </w:r>
            <w:r>
              <w:rPr>
                <w:rFonts w:hint="eastAsia"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工程力学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(08010</w:t>
            </w:r>
            <w:r>
              <w:rPr>
                <w:rFonts w:hint="eastAsia"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物理电子学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计算机系统结构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计算机软件与理论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人体解剖与组织胚胎学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免疫学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病原生物学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病理学与病理生理学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放射医学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航空、航天与航海医学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(100107)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流行病与卫生统计学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劳动卫生与环境卫生学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营养与食品卫生学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儿少卫生与妇幼保健学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卫生毒理学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</w:t>
            </w:r>
            <w:r>
              <w:rPr>
                <w:rFonts w:hint="eastAsia"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药物化学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药物分析学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微生物与生化药学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一般力学与力学基础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固体力学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工程力学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机械制造及其自动化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机械电子工程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机械设计及理论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光学工程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仪器科学与技术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精密仪器及机械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测试计量技术及仪器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材料科学与工程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材料物理与化学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材料学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材料加工工程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冶金工程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冶金物理化学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钢铁冶金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有色金属冶金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动力工程及工程热物理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工程热物理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热能工程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动力机械及工程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流体机械及工程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制冷及低温工程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化工过程机械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电气工程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电机与电器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电力系统及其自动化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高电压与绝缘技术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电力电子与电力传动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电工理论与新技术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物理电子学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信息与通信工程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通信与信息系统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信号与信息处理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控制理论与控制工程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检测技术与自动化装置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系统工程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模式识别与智能系统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导航、制导与控制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计算机系统结构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计算机软件与理论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建筑历史与理论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建筑设计及其理论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城市规划与设计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建筑技术科学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建筑学硕士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岩土工程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结构工程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市政工程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供热、供燃气、通风及空调工程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防灾减灾工程及防护工程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桥梁与隧道工程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水文学及水资源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水力学及河流动力学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水工结构工程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港口、海岸及近海工程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测绘科学与技术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大地测量学与测量工程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摄影测量与遥感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地图制图学与地理信息工程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化学工程与技术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化学工程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化学工艺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生物化工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工业催化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地质资源与地质工程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矿产普查与勘探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地球探测与信息技术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地质工程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矿业工程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矿物加工工程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安全技术及工程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石油与天然气工程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油气井工程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油气田开发工程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油气储运工程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纺织科学与工程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纺织工程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纺织材料与纺织品设计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纺织化学与染整工程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服装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轻工技术与工程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制浆造纸工程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制糖工程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发酵工程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皮革化学与工程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交通运输工程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道路与铁道工程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交通信息工程及控制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交通运输规划与管理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载运工具运用工程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船舶与海洋工程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船舶与海洋结构物设计制造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轮机工程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运载工具运用工程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航空宇航科学与技术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飞行器设计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航空宇航推进理论与工程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航空宇航制造工程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人机与环境工程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兵器科学与技术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武器系统与运用工程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兵器发射理论与技术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火炮、自动武器与弹药工程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军事化学与烟火技术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核科学与技术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核能科学与工程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核燃料循环与材料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核技术及应用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辐射防护及环境保护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农业工程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农业机械化工程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农业水土工程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农业生物环境与能源工程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农业电气化与自动化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林业工程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森林工程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木材科学与技术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林产化学加工工程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粮食、油脂及植物蛋白工程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作物学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作物栽培学与耕作学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作物遗传育种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园艺学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果树学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蔬菜学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农业资源利用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土壤学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植物营养学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植物保护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植物病理学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农业昆虫与害虫防治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畜牧学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动物遗传育种与繁殖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动物营养与饲料科学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草业科学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特种经济动物饲养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基础兽医学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预防兽医学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临床兽医学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林木遗传育种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森林培育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森林保护学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森林经理学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野生动植物保护与利用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园林植物与观赏园艺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水土保持与荒漠化防治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水产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水产养殖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捕捞学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渔业资源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食品科学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粮食、油脂及植物蛋白工程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水产品加工及贮藏工程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人体解剖与组织胚胎学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免疫学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病原生物学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病理学与病理生理学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法医学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放射医学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航空、航天与航海医学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儿科学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老年医学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神经病学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精神病与精神卫生学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皮肤病与性病学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影像医学与核医学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临床检验诊断学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外科学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妇产科学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眼科学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耳鼻咽喉科学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肿瘤学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康复医学与理疗学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运动医学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麻醉学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急诊医学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口腔基础医学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口腔临床医学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流行病与卫生统计学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劳动卫生与环境卫生学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营养与食品卫生学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儿少卫生与妇幼保健学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卫生毒理学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军事预防医学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中医基础理论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中医临床基础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中医医史文献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方剂学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中医诊断学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中医内科学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中医外科学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中医骨伤科学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中医妇科学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中医儿科学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中医五官科学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民族医学</w:t>
            </w:r>
            <w:r>
              <w:rPr>
                <w:rFonts w:cs="Arial"/>
                <w:sz w:val="22"/>
                <w:szCs w:val="22"/>
              </w:rPr>
              <w:t>(蒙医)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中西医结合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中西医结合基础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中西医结合临床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药物化学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药剂学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生药学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药物分析学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微生物与生化药学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药理学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社会医学与卫生事业管理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科学技术史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军事学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军事思想及军事历史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军事思想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战略学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军事战略学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战争动员学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联合战役学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军种战役学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合同战术学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兵种战术学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军队指挥学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作战指挥学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军事运筹学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军事通信学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军事情报学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密码学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军事教育训练学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军制学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军事组织编制学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军队管理学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军队政治工作学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军事后勤学与军事装备学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军事后勤学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后方专业勤务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军事装备学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ascii="黑体" w:hAnsi="Arial" w:eastAsia="黑体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Arial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bCs/>
                <w:sz w:val="28"/>
                <w:szCs w:val="2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企业管理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技术经济及管理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工商管理硕士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农林经济管理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农业经济管理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林业经济管理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社会医学与卫生事业管理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教育经济与管理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社会保障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土地资源管理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楷体_GB2312" w:hAnsi="Arial" w:eastAsia="楷体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sz w:val="28"/>
                <w:szCs w:val="28"/>
              </w:rPr>
              <w:t>图书馆、情报与档案管理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图书馆学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情报学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档案学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0E385E03"/>
    <w:rsid w:val="163F776B"/>
    <w:rsid w:val="17A0783E"/>
    <w:rsid w:val="1E0875A3"/>
    <w:rsid w:val="2AA52606"/>
    <w:rsid w:val="35E061FF"/>
    <w:rsid w:val="3B316860"/>
    <w:rsid w:val="3F7211C6"/>
    <w:rsid w:val="455D53A4"/>
    <w:rsid w:val="46660040"/>
    <w:rsid w:val="49117DBE"/>
    <w:rsid w:val="505D6D0E"/>
    <w:rsid w:val="54E05E31"/>
    <w:rsid w:val="5D9D7275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5">
    <w:name w:val="教育部3"/>
    <w:basedOn w:val="1"/>
    <w:qFormat/>
    <w:uiPriority w:val="0"/>
    <w:pPr>
      <w:widowControl/>
      <w:spacing w:line="440" w:lineRule="exact"/>
      <w:jc w:val="center"/>
    </w:pPr>
    <w:rPr>
      <w:rFonts w:ascii="宋体" w:eastAsia="宋体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